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D9CEE" w14:textId="40DD11E4" w:rsidR="00A57144" w:rsidRPr="00F76E5A" w:rsidRDefault="00A57144" w:rsidP="00A57144">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sidR="00E140B5">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F76E5A" w:rsidRPr="003A6794">
        <w:rPr>
          <w:rFonts w:ascii="Arial" w:hAnsi="Arial" w:cs="Arial"/>
          <w:b/>
          <w:bCs/>
          <w:sz w:val="28"/>
        </w:rPr>
        <w:t>R1-220</w:t>
      </w:r>
      <w:r w:rsidR="003A6794">
        <w:rPr>
          <w:rFonts w:ascii="Arial" w:hAnsi="Arial" w:cs="Arial"/>
          <w:b/>
          <w:bCs/>
          <w:sz w:val="28"/>
        </w:rPr>
        <w:t>1489</w:t>
      </w:r>
    </w:p>
    <w:p w14:paraId="71FA3278" w14:textId="6F3AF865" w:rsidR="00A57144" w:rsidRPr="009513AC" w:rsidRDefault="00A57144" w:rsidP="00A57144">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bookmarkStart w:id="0" w:name="_Hlk95232300"/>
      <w:r w:rsidR="00C46181">
        <w:rPr>
          <w:rFonts w:ascii="Arial" w:eastAsia="ＭＳ 明朝" w:hAnsi="Arial" w:cs="Arial"/>
          <w:b/>
          <w:bCs/>
          <w:sz w:val="28"/>
        </w:rPr>
        <w:t>February</w:t>
      </w:r>
      <w:r>
        <w:rPr>
          <w:rFonts w:ascii="Arial" w:eastAsia="ＭＳ 明朝" w:hAnsi="Arial" w:cs="Arial"/>
          <w:b/>
          <w:bCs/>
          <w:sz w:val="28"/>
        </w:rPr>
        <w:t xml:space="preserve"> </w:t>
      </w:r>
      <w:r w:rsidR="001C47EB">
        <w:rPr>
          <w:rFonts w:ascii="Arial" w:eastAsia="ＭＳ 明朝" w:hAnsi="Arial" w:cs="Arial"/>
          <w:b/>
          <w:bCs/>
          <w:sz w:val="28"/>
        </w:rPr>
        <w:t>21</w:t>
      </w:r>
      <w:r w:rsidR="001C47EB" w:rsidRPr="00B552FA">
        <w:rPr>
          <w:rFonts w:ascii="Arial" w:eastAsia="ＭＳ 明朝" w:hAnsi="Arial" w:cs="Arial"/>
          <w:b/>
          <w:bCs/>
          <w:sz w:val="28"/>
          <w:vertAlign w:val="superscript"/>
        </w:rPr>
        <w:t>st</w:t>
      </w:r>
      <w:r>
        <w:rPr>
          <w:rFonts w:ascii="Arial" w:eastAsia="ＭＳ 明朝" w:hAnsi="Arial" w:cs="Arial"/>
          <w:b/>
          <w:bCs/>
          <w:sz w:val="28"/>
        </w:rPr>
        <w:t xml:space="preserve"> – </w:t>
      </w:r>
      <w:r w:rsidR="00EA5D9D">
        <w:rPr>
          <w:rFonts w:ascii="Arial" w:eastAsia="ＭＳ 明朝" w:hAnsi="Arial" w:cs="Arial"/>
          <w:b/>
          <w:bCs/>
          <w:sz w:val="28"/>
        </w:rPr>
        <w:t>March 3</w:t>
      </w:r>
      <w:r w:rsidR="00EA5D9D" w:rsidRPr="00EA5D9D">
        <w:rPr>
          <w:rFonts w:ascii="Arial" w:eastAsia="ＭＳ 明朝" w:hAnsi="Arial" w:cs="Arial"/>
          <w:b/>
          <w:bCs/>
          <w:sz w:val="28"/>
          <w:vertAlign w:val="superscript"/>
        </w:rPr>
        <w:t>rd</w:t>
      </w:r>
      <w:r>
        <w:rPr>
          <w:rFonts w:ascii="Arial" w:eastAsia="ＭＳ 明朝" w:hAnsi="Arial" w:cs="Arial"/>
          <w:b/>
          <w:bCs/>
          <w:sz w:val="28"/>
        </w:rPr>
        <w:t>, 2022</w:t>
      </w:r>
      <w:bookmarkEnd w:id="0"/>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D9EBE11"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252C0C">
        <w:rPr>
          <w:sz w:val="24"/>
          <w:lang w:val="en-US"/>
        </w:rPr>
        <w:t xml:space="preserve">Remaining issues on </w:t>
      </w:r>
      <w:r w:rsidR="00252C0C">
        <w:rPr>
          <w:sz w:val="24"/>
          <w:lang w:val="en-US"/>
        </w:rPr>
        <w:t>j</w:t>
      </w:r>
      <w:r w:rsidR="00546B31" w:rsidRPr="00546B31">
        <w:rPr>
          <w:sz w:val="24"/>
          <w:lang w:val="en-US"/>
        </w:rPr>
        <w:t>oint channel estimation for PUSCH</w:t>
      </w:r>
    </w:p>
    <w:p w14:paraId="33948831" w14:textId="251A861A"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8.8.1</w:t>
      </w:r>
      <w:r w:rsidR="00512985">
        <w:rPr>
          <w:sz w:val="24"/>
          <w:lang w:val="en-US"/>
        </w:rPr>
        <w:t>.</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35CA59D1" w:rsidR="007E607B" w:rsidRDefault="002A511E" w:rsidP="007E2D01">
      <w:pPr>
        <w:rPr>
          <w:sz w:val="22"/>
          <w:szCs w:val="22"/>
          <w:lang w:val="en-US"/>
        </w:rPr>
      </w:pPr>
      <w:r w:rsidRPr="002A511E">
        <w:rPr>
          <w:sz w:val="22"/>
          <w:szCs w:val="22"/>
          <w:lang w:val="en-US"/>
        </w:rPr>
        <w:t>In this contribution, we discuss remaining issues on</w:t>
      </w:r>
      <w:r w:rsidR="007E607B" w:rsidRPr="007E607B">
        <w:rPr>
          <w:sz w:val="22"/>
          <w:szCs w:val="22"/>
          <w:lang w:val="en-US"/>
        </w:rPr>
        <w:t xml:space="preserve"> </w:t>
      </w:r>
      <w:r w:rsidR="00546B31">
        <w:rPr>
          <w:rFonts w:eastAsiaTheme="minorEastAsia"/>
          <w:sz w:val="22"/>
          <w:szCs w:val="22"/>
          <w:lang w:val="en-US"/>
        </w:rPr>
        <w:t>joint channel estimation for PUSCH</w:t>
      </w:r>
      <w:r w:rsidR="00546B31">
        <w:rPr>
          <w:sz w:val="22"/>
          <w:szCs w:val="22"/>
          <w:lang w:val="en-US"/>
        </w:rPr>
        <w:t xml:space="preserve"> 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4827AFA7" w14:textId="4B81FC84" w:rsidR="00554230" w:rsidRPr="00CB7C1E" w:rsidRDefault="005768AF" w:rsidP="00CB7C1E">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546B31" w:rsidRPr="00546B31">
        <w:rPr>
          <w:rFonts w:eastAsia="ＭＳ 明朝"/>
          <w:b/>
          <w:bCs/>
          <w:szCs w:val="24"/>
          <w:lang w:val="en-US"/>
        </w:rPr>
        <w:t>joint channel estimation for PUSCH</w:t>
      </w:r>
    </w:p>
    <w:p w14:paraId="05050FA4" w14:textId="185083A9" w:rsidR="004A3313" w:rsidRDefault="00E140B5" w:rsidP="00715631">
      <w:pPr>
        <w:rPr>
          <w:b/>
          <w:bCs/>
          <w:sz w:val="22"/>
          <w:szCs w:val="22"/>
          <w:u w:val="single"/>
          <w:lang w:val="en-US"/>
        </w:rPr>
      </w:pPr>
      <w:r>
        <w:rPr>
          <w:b/>
          <w:bCs/>
          <w:sz w:val="22"/>
          <w:szCs w:val="22"/>
          <w:u w:val="single"/>
          <w:lang w:val="en-US"/>
        </w:rPr>
        <w:t>Restart actual time domain window after events</w:t>
      </w:r>
    </w:p>
    <w:p w14:paraId="4BDE67B9" w14:textId="10274BDD" w:rsidR="00715631" w:rsidRDefault="00715631" w:rsidP="00715631">
      <w:pPr>
        <w:rPr>
          <w:rFonts w:eastAsiaTheme="minorEastAsia"/>
          <w:sz w:val="22"/>
          <w:szCs w:val="22"/>
          <w:lang w:val="en-US"/>
        </w:rPr>
      </w:pPr>
      <w:r w:rsidRPr="00E0698C">
        <w:rPr>
          <w:rFonts w:eastAsiaTheme="minorEastAsia"/>
          <w:sz w:val="22"/>
          <w:szCs w:val="22"/>
          <w:lang w:val="en-US"/>
        </w:rPr>
        <w:t xml:space="preserve">At </w:t>
      </w:r>
      <w:r w:rsidR="002C451F">
        <w:rPr>
          <w:rFonts w:eastAsiaTheme="minorEastAsia"/>
          <w:sz w:val="22"/>
          <w:szCs w:val="22"/>
          <w:lang w:val="en-US"/>
        </w:rPr>
        <w:t xml:space="preserve">the </w:t>
      </w:r>
      <w:r w:rsidRPr="00E0698C">
        <w:rPr>
          <w:rFonts w:eastAsiaTheme="minorEastAsia"/>
          <w:sz w:val="22"/>
          <w:szCs w:val="22"/>
          <w:lang w:val="en-US"/>
        </w:rPr>
        <w:t>RAN</w:t>
      </w:r>
      <w:r w:rsidR="004D3FC6">
        <w:rPr>
          <w:rFonts w:eastAsiaTheme="minorEastAsia"/>
          <w:sz w:val="22"/>
          <w:szCs w:val="22"/>
          <w:lang w:val="en-US"/>
        </w:rPr>
        <w:t>1</w:t>
      </w:r>
      <w:r w:rsidRPr="00E0698C">
        <w:rPr>
          <w:rFonts w:eastAsiaTheme="minorEastAsia"/>
          <w:sz w:val="22"/>
          <w:szCs w:val="22"/>
          <w:lang w:val="en-US"/>
        </w:rPr>
        <w:t>#</w:t>
      </w:r>
      <w:r w:rsidR="004D3FC6">
        <w:rPr>
          <w:rFonts w:eastAsiaTheme="minorEastAsia"/>
          <w:sz w:val="22"/>
          <w:szCs w:val="22"/>
          <w:lang w:val="en-US"/>
        </w:rPr>
        <w:t>10</w:t>
      </w:r>
      <w:r w:rsidR="005025F7">
        <w:rPr>
          <w:rFonts w:eastAsiaTheme="minorEastAsia"/>
          <w:sz w:val="22"/>
          <w:szCs w:val="22"/>
          <w:lang w:val="en-US"/>
        </w:rPr>
        <w:t>7</w:t>
      </w:r>
      <w:r w:rsidRPr="00E0698C">
        <w:rPr>
          <w:rFonts w:eastAsiaTheme="minorEastAsia"/>
          <w:sz w:val="22"/>
          <w:szCs w:val="22"/>
          <w:lang w:val="en-US"/>
        </w:rPr>
        <w:t xml:space="preserve">-e meeting, the </w:t>
      </w:r>
      <w:r w:rsidR="005025F7">
        <w:rPr>
          <w:rFonts w:eastAsiaTheme="minorEastAsia"/>
          <w:sz w:val="22"/>
          <w:szCs w:val="22"/>
          <w:lang w:val="en-US"/>
        </w:rPr>
        <w:t xml:space="preserve">restarting actual </w:t>
      </w:r>
      <w:r>
        <w:rPr>
          <w:rFonts w:eastAsiaTheme="minorEastAsia"/>
          <w:sz w:val="22"/>
          <w:szCs w:val="22"/>
          <w:lang w:val="en-US"/>
        </w:rPr>
        <w:t>time domain window (</w:t>
      </w:r>
      <w:r w:rsidR="001E25F4">
        <w:rPr>
          <w:rFonts w:eastAsiaTheme="minorEastAsia"/>
          <w:sz w:val="22"/>
          <w:szCs w:val="22"/>
          <w:lang w:val="en-US"/>
        </w:rPr>
        <w:t>TDW)</w:t>
      </w:r>
      <w:r w:rsidR="005025F7">
        <w:rPr>
          <w:rFonts w:eastAsiaTheme="minorEastAsia"/>
          <w:sz w:val="22"/>
          <w:szCs w:val="22"/>
          <w:lang w:val="en-US"/>
        </w:rPr>
        <w:t xml:space="preserve"> within a nominal TDW</w:t>
      </w:r>
      <w:r>
        <w:rPr>
          <w:rFonts w:eastAsiaTheme="minorEastAsia"/>
          <w:sz w:val="22"/>
          <w:szCs w:val="22"/>
          <w:lang w:val="en-US"/>
        </w:rPr>
        <w:t xml:space="preserve"> </w:t>
      </w:r>
      <w:r w:rsidRPr="00E0698C">
        <w:rPr>
          <w:rFonts w:eastAsiaTheme="minorEastAsia"/>
          <w:sz w:val="22"/>
          <w:szCs w:val="22"/>
          <w:lang w:val="en-US"/>
        </w:rPr>
        <w:t xml:space="preserve">was discussed, and </w:t>
      </w:r>
      <w:r>
        <w:rPr>
          <w:rFonts w:eastAsiaTheme="minorEastAsia"/>
          <w:sz w:val="22"/>
          <w:szCs w:val="22"/>
          <w:lang w:val="en-US"/>
        </w:rPr>
        <w:t xml:space="preserve">the </w:t>
      </w:r>
      <w:r w:rsidRPr="00E0698C">
        <w:rPr>
          <w:rFonts w:eastAsiaTheme="minorEastAsia"/>
          <w:sz w:val="22"/>
          <w:szCs w:val="22"/>
          <w:lang w:val="en-US"/>
        </w:rPr>
        <w:t xml:space="preserve">following </w:t>
      </w:r>
      <w:r>
        <w:rPr>
          <w:rFonts w:eastAsiaTheme="minorEastAsia"/>
          <w:sz w:val="22"/>
          <w:szCs w:val="22"/>
          <w:lang w:val="en-US"/>
        </w:rPr>
        <w:t>agreement</w:t>
      </w:r>
      <w:r w:rsidRPr="00E0698C">
        <w:rPr>
          <w:rFonts w:eastAsiaTheme="minorEastAsia"/>
          <w:sz w:val="22"/>
          <w:szCs w:val="22"/>
          <w:lang w:val="en-US"/>
        </w:rPr>
        <w:t xml:space="preserve"> </w:t>
      </w:r>
      <w:r w:rsidR="003B1521">
        <w:rPr>
          <w:rFonts w:eastAsiaTheme="minorEastAsia" w:hint="eastAsia"/>
          <w:sz w:val="22"/>
          <w:szCs w:val="22"/>
          <w:lang w:val="en-US"/>
        </w:rPr>
        <w:t>w</w:t>
      </w:r>
      <w:r w:rsidR="003B1521">
        <w:rPr>
          <w:rFonts w:eastAsiaTheme="minorEastAsia"/>
          <w:sz w:val="22"/>
          <w:szCs w:val="22"/>
          <w:lang w:val="en-US"/>
        </w:rPr>
        <w:t>as</w:t>
      </w:r>
      <w:r w:rsidRPr="00E0698C">
        <w:rPr>
          <w:rFonts w:eastAsiaTheme="minorEastAsia"/>
          <w:sz w:val="22"/>
          <w:szCs w:val="22"/>
          <w:lang w:val="en-US"/>
        </w:rPr>
        <w:t xml:space="preserve"> made [</w:t>
      </w:r>
      <w:r w:rsidR="002A511E">
        <w:rPr>
          <w:rFonts w:eastAsiaTheme="minorEastAsia"/>
          <w:sz w:val="22"/>
          <w:szCs w:val="22"/>
          <w:lang w:val="en-US"/>
        </w:rPr>
        <w:t>1</w:t>
      </w:r>
      <w:r w:rsidRPr="00E0698C">
        <w:rPr>
          <w:rFonts w:eastAsiaTheme="minorEastAsia"/>
          <w:sz w:val="22"/>
          <w:szCs w:val="22"/>
          <w:lang w:val="en-US"/>
        </w:rPr>
        <w:t>].</w:t>
      </w:r>
    </w:p>
    <w:p w14:paraId="7D4E9BD4" w14:textId="77777777" w:rsidR="00715631" w:rsidRPr="00AB514D" w:rsidRDefault="00715631" w:rsidP="00715631">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715631" w:rsidRPr="00A31D60" w14:paraId="69242418" w14:textId="77777777" w:rsidTr="00920B20">
        <w:trPr>
          <w:trHeight w:val="1833"/>
          <w:jc w:val="center"/>
        </w:trPr>
        <w:tc>
          <w:tcPr>
            <w:tcW w:w="9962" w:type="dxa"/>
          </w:tcPr>
          <w:p w14:paraId="3ADC1EBD" w14:textId="77777777" w:rsidR="004D3FC6" w:rsidRPr="004D3FC6" w:rsidRDefault="004D3FC6" w:rsidP="004D3FC6">
            <w:pPr>
              <w:widowControl w:val="0"/>
              <w:spacing w:after="160" w:line="259" w:lineRule="auto"/>
              <w:jc w:val="both"/>
              <w:rPr>
                <w:rFonts w:eastAsia="SimSun"/>
                <w:b/>
                <w:sz w:val="21"/>
                <w:szCs w:val="21"/>
                <w:highlight w:val="yellow"/>
                <w:lang w:val="en-US" w:eastAsia="zh-CN"/>
              </w:rPr>
            </w:pPr>
            <w:r w:rsidRPr="004D3FC6">
              <w:rPr>
                <w:rFonts w:eastAsia="Batang"/>
                <w:b/>
                <w:sz w:val="21"/>
                <w:szCs w:val="21"/>
                <w:highlight w:val="green"/>
                <w:lang w:eastAsia="en-US"/>
              </w:rPr>
              <w:t>Agreement</w:t>
            </w:r>
            <w:r w:rsidRPr="004D3FC6">
              <w:rPr>
                <w:rFonts w:eastAsia="Batang"/>
                <w:b/>
                <w:bCs/>
                <w:sz w:val="21"/>
                <w:szCs w:val="21"/>
                <w:highlight w:val="green"/>
                <w:lang w:eastAsia="en-US"/>
              </w:rPr>
              <w:t>:</w:t>
            </w:r>
          </w:p>
          <w:p w14:paraId="4805F3D9" w14:textId="77777777" w:rsidR="005025F7" w:rsidRDefault="005025F7" w:rsidP="005025F7">
            <w:pPr>
              <w:pStyle w:val="aff6"/>
              <w:numPr>
                <w:ilvl w:val="0"/>
                <w:numId w:val="31"/>
              </w:numPr>
              <w:snapToGrid w:val="0"/>
              <w:spacing w:after="120" w:line="259" w:lineRule="auto"/>
              <w:ind w:leftChars="0"/>
              <w:rPr>
                <w:bCs/>
                <w:sz w:val="21"/>
                <w:szCs w:val="21"/>
              </w:rPr>
            </w:pPr>
            <w:r>
              <w:rPr>
                <w:bCs/>
                <w:sz w:val="21"/>
                <w:szCs w:val="21"/>
              </w:rPr>
              <w:t>If DM-RS bundling is supported, UE is mandatory to support restarting DM-RS bundling due to semi-static events. UE capability of restarting DMRS bundling is applied only to dynamic events.</w:t>
            </w:r>
          </w:p>
          <w:p w14:paraId="2768B09D" w14:textId="77777777" w:rsidR="005025F7" w:rsidRDefault="005025F7" w:rsidP="005025F7">
            <w:pPr>
              <w:pStyle w:val="aff6"/>
              <w:numPr>
                <w:ilvl w:val="1"/>
                <w:numId w:val="44"/>
              </w:numPr>
              <w:snapToGrid w:val="0"/>
              <w:spacing w:after="120" w:line="259" w:lineRule="auto"/>
              <w:ind w:leftChars="0"/>
              <w:jc w:val="both"/>
              <w:rPr>
                <w:color w:val="000000"/>
                <w:sz w:val="21"/>
                <w:szCs w:val="21"/>
              </w:rPr>
            </w:pPr>
            <w:r>
              <w:rPr>
                <w:color w:val="000000"/>
                <w:sz w:val="21"/>
                <w:szCs w:val="21"/>
              </w:rPr>
              <w:t>A</w:t>
            </w:r>
            <w:r>
              <w:rPr>
                <w:bCs/>
                <w:color w:val="000000"/>
                <w:sz w:val="21"/>
                <w:szCs w:val="21"/>
              </w:rPr>
              <w:t>n event is regarded as a dynamic event if it is triggered by a DCI or MAC-CE, otherwise it is regarded as a semi-static event.</w:t>
            </w:r>
          </w:p>
          <w:p w14:paraId="08741A5D" w14:textId="2868B73A" w:rsidR="004D3FC6" w:rsidRPr="005025F7" w:rsidRDefault="005025F7" w:rsidP="005025F7">
            <w:pPr>
              <w:pStyle w:val="aff6"/>
              <w:numPr>
                <w:ilvl w:val="1"/>
                <w:numId w:val="44"/>
              </w:numPr>
              <w:snapToGrid w:val="0"/>
              <w:spacing w:after="120" w:line="259" w:lineRule="auto"/>
              <w:ind w:leftChars="0"/>
              <w:jc w:val="both"/>
              <w:rPr>
                <w:bCs/>
                <w:color w:val="000000"/>
                <w:sz w:val="21"/>
                <w:szCs w:val="21"/>
              </w:rPr>
            </w:pPr>
            <w:r>
              <w:rPr>
                <w:rFonts w:eastAsia="DengXian" w:hint="eastAsia"/>
                <w:bCs/>
                <w:color w:val="000000"/>
                <w:sz w:val="21"/>
                <w:szCs w:val="21"/>
                <w:lang w:eastAsia="zh-CN"/>
              </w:rPr>
              <w:t>N</w:t>
            </w:r>
            <w:r>
              <w:rPr>
                <w:rFonts w:eastAsia="DengXian"/>
                <w:bCs/>
                <w:color w:val="000000"/>
                <w:sz w:val="21"/>
                <w:szCs w:val="21"/>
                <w:lang w:eastAsia="zh-CN"/>
              </w:rPr>
              <w:t xml:space="preserve">ote: At least </w:t>
            </w:r>
            <w:r>
              <w:rPr>
                <w:bCs/>
                <w:color w:val="000000"/>
                <w:sz w:val="21"/>
                <w:szCs w:val="21"/>
              </w:rPr>
              <w:t>frequency hopping event is considered as semi-static event.</w:t>
            </w:r>
          </w:p>
        </w:tc>
      </w:tr>
    </w:tbl>
    <w:p w14:paraId="37E1FBD3" w14:textId="77777777" w:rsidR="005025F7" w:rsidRPr="005025F7" w:rsidRDefault="005025F7" w:rsidP="00AB514D">
      <w:pPr>
        <w:rPr>
          <w:b/>
          <w:bCs/>
          <w:sz w:val="22"/>
          <w:szCs w:val="22"/>
          <w:u w:val="single"/>
          <w:lang w:val="en-US"/>
        </w:rPr>
      </w:pPr>
    </w:p>
    <w:p w14:paraId="6C580255" w14:textId="0EC3698D" w:rsidR="005025F7" w:rsidRDefault="000E4D80" w:rsidP="005025F7">
      <w:pPr>
        <w:rPr>
          <w:sz w:val="22"/>
          <w:szCs w:val="22"/>
          <w:lang w:val="en-US"/>
        </w:rPr>
      </w:pPr>
      <w:r>
        <w:rPr>
          <w:sz w:val="22"/>
          <w:szCs w:val="22"/>
          <w:lang w:val="en-US"/>
        </w:rPr>
        <w:t>I</w:t>
      </w:r>
      <w:r w:rsidR="005025F7">
        <w:rPr>
          <w:sz w:val="22"/>
          <w:szCs w:val="22"/>
          <w:lang w:val="en-US"/>
        </w:rPr>
        <w:t xml:space="preserve">t is still under discussion whether </w:t>
      </w:r>
      <w:r w:rsidR="00DA6717">
        <w:rPr>
          <w:sz w:val="22"/>
          <w:szCs w:val="22"/>
          <w:lang w:val="en-US"/>
        </w:rPr>
        <w:t xml:space="preserve">it </w:t>
      </w:r>
      <w:r>
        <w:rPr>
          <w:sz w:val="22"/>
          <w:szCs w:val="22"/>
          <w:lang w:val="en-US"/>
        </w:rPr>
        <w:t xml:space="preserve">is mandatory </w:t>
      </w:r>
      <w:r w:rsidR="00DA6717">
        <w:rPr>
          <w:sz w:val="22"/>
          <w:szCs w:val="22"/>
          <w:lang w:val="en-US"/>
        </w:rPr>
        <w:t xml:space="preserve">for UE supporting DM-RS bundling </w:t>
      </w:r>
      <w:r>
        <w:rPr>
          <w:sz w:val="22"/>
          <w:szCs w:val="22"/>
          <w:lang w:val="en-US"/>
        </w:rPr>
        <w:t>to</w:t>
      </w:r>
      <w:r w:rsidR="005025F7">
        <w:rPr>
          <w:sz w:val="22"/>
          <w:szCs w:val="22"/>
          <w:lang w:val="en-US"/>
        </w:rPr>
        <w:t xml:space="preserve"> restart actual TDW after a semi-static </w:t>
      </w:r>
      <w:r w:rsidR="00DA6717">
        <w:rPr>
          <w:sz w:val="22"/>
          <w:szCs w:val="22"/>
          <w:lang w:val="en-US"/>
        </w:rPr>
        <w:t xml:space="preserve">event </w:t>
      </w:r>
      <w:r w:rsidR="005025F7">
        <w:rPr>
          <w:sz w:val="22"/>
          <w:szCs w:val="22"/>
          <w:lang w:val="en-US"/>
        </w:rPr>
        <w:t xml:space="preserve">when </w:t>
      </w:r>
      <w:r w:rsidR="00DA6717">
        <w:rPr>
          <w:sz w:val="21"/>
          <w:szCs w:val="21"/>
        </w:rPr>
        <w:t>the</w:t>
      </w:r>
      <w:r w:rsidR="00422BED">
        <w:rPr>
          <w:sz w:val="21"/>
          <w:szCs w:val="21"/>
        </w:rPr>
        <w:t xml:space="preserve"> semi-static event is triggered after one or multiple dynamic events. Based on the above agreement, </w:t>
      </w:r>
      <w:r w:rsidR="005025F7" w:rsidRPr="005025F7">
        <w:rPr>
          <w:sz w:val="22"/>
          <w:szCs w:val="22"/>
          <w:lang w:val="en-US"/>
        </w:rPr>
        <w:t>UE is expected to re-start actual TDW after</w:t>
      </w:r>
      <w:r w:rsidR="00CC4D24">
        <w:rPr>
          <w:sz w:val="22"/>
          <w:szCs w:val="22"/>
          <w:lang w:val="en-US"/>
        </w:rPr>
        <w:t xml:space="preserve"> a</w:t>
      </w:r>
      <w:r w:rsidR="005025F7" w:rsidRPr="005025F7">
        <w:rPr>
          <w:sz w:val="22"/>
          <w:szCs w:val="22"/>
          <w:lang w:val="en-US"/>
        </w:rPr>
        <w:t xml:space="preserve"> semi-static event regardless of UE capability</w:t>
      </w:r>
      <w:r w:rsidR="00422BED">
        <w:rPr>
          <w:sz w:val="22"/>
          <w:szCs w:val="22"/>
          <w:lang w:val="en-US"/>
        </w:rPr>
        <w:t>. Hence,</w:t>
      </w:r>
      <w:r w:rsidR="005025F7" w:rsidRPr="005025F7">
        <w:rPr>
          <w:sz w:val="22"/>
          <w:szCs w:val="22"/>
          <w:lang w:val="en-US"/>
        </w:rPr>
        <w:t xml:space="preserve"> there is no need to </w:t>
      </w:r>
      <w:r w:rsidR="005025F7">
        <w:rPr>
          <w:sz w:val="22"/>
          <w:szCs w:val="22"/>
          <w:lang w:val="en-US"/>
        </w:rPr>
        <w:t>skip</w:t>
      </w:r>
      <w:r w:rsidR="005025F7" w:rsidRPr="005025F7">
        <w:rPr>
          <w:sz w:val="22"/>
          <w:szCs w:val="22"/>
          <w:lang w:val="en-US"/>
        </w:rPr>
        <w:t xml:space="preserve"> re-starting actual TDW due to the dynamic event</w:t>
      </w:r>
      <w:r w:rsidR="005025F7">
        <w:rPr>
          <w:sz w:val="22"/>
          <w:szCs w:val="22"/>
          <w:lang w:val="en-US"/>
        </w:rPr>
        <w:t>s</w:t>
      </w:r>
      <w:r w:rsidR="00422BED">
        <w:rPr>
          <w:sz w:val="22"/>
          <w:szCs w:val="22"/>
          <w:lang w:val="en-US"/>
        </w:rPr>
        <w:t xml:space="preserve"> before semi-static events</w:t>
      </w:r>
      <w:r w:rsidR="005025F7" w:rsidRPr="005025F7">
        <w:rPr>
          <w:sz w:val="22"/>
          <w:szCs w:val="22"/>
          <w:lang w:val="en-US"/>
        </w:rPr>
        <w:t>.</w:t>
      </w:r>
    </w:p>
    <w:p w14:paraId="6DF1EB94" w14:textId="3AF10D93" w:rsidR="005025F7" w:rsidRDefault="005025F7" w:rsidP="005025F7">
      <w:pPr>
        <w:rPr>
          <w:sz w:val="22"/>
          <w:szCs w:val="22"/>
          <w:lang w:val="en-US"/>
        </w:rPr>
      </w:pPr>
    </w:p>
    <w:p w14:paraId="4CA28AF5" w14:textId="1F3D844A" w:rsidR="00422BED" w:rsidRDefault="00422BED" w:rsidP="005025F7">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422BED">
        <w:rPr>
          <w:rFonts w:eastAsia="游明朝"/>
          <w:b/>
          <w:sz w:val="22"/>
          <w:szCs w:val="22"/>
        </w:rPr>
        <w:t>Make conclusion that if a semi-static event is triggered after one or multiple dynamic events, a new actual TDW is created after the semi-static event regardless of UE capability.</w:t>
      </w:r>
    </w:p>
    <w:p w14:paraId="5C0824B0" w14:textId="3F744F93" w:rsidR="00422BED" w:rsidRDefault="00422BED" w:rsidP="005025F7">
      <w:pPr>
        <w:rPr>
          <w:sz w:val="22"/>
          <w:szCs w:val="22"/>
          <w:lang w:val="en-US"/>
        </w:rPr>
      </w:pPr>
    </w:p>
    <w:p w14:paraId="6C1D99DC" w14:textId="77777777" w:rsidR="00422BED" w:rsidRPr="003714D0" w:rsidRDefault="00422BED" w:rsidP="005025F7">
      <w:pPr>
        <w:rPr>
          <w:sz w:val="22"/>
          <w:szCs w:val="22"/>
        </w:rPr>
      </w:pPr>
    </w:p>
    <w:p w14:paraId="27126AFD" w14:textId="5991814D" w:rsidR="00422BED" w:rsidRDefault="00422BED" w:rsidP="005025F7">
      <w:pPr>
        <w:rPr>
          <w:b/>
          <w:bCs/>
          <w:sz w:val="22"/>
          <w:szCs w:val="22"/>
          <w:u w:val="single"/>
          <w:lang w:val="en-US"/>
        </w:rPr>
      </w:pPr>
      <w:r>
        <w:rPr>
          <w:b/>
          <w:bCs/>
          <w:sz w:val="22"/>
          <w:szCs w:val="22"/>
          <w:u w:val="single"/>
          <w:lang w:val="en-US"/>
        </w:rPr>
        <w:t>TPC command when DMRS bundling is applied</w:t>
      </w:r>
    </w:p>
    <w:p w14:paraId="6056C82F" w14:textId="47BEAC66" w:rsidR="005B6074" w:rsidRDefault="005B6074" w:rsidP="003714D0">
      <w:pPr>
        <w:rPr>
          <w:rFonts w:eastAsiaTheme="minorEastAsia"/>
          <w:sz w:val="21"/>
          <w:szCs w:val="21"/>
        </w:rPr>
      </w:pPr>
      <w:r>
        <w:rPr>
          <w:rFonts w:eastAsiaTheme="minorEastAsia" w:hint="eastAsia"/>
          <w:sz w:val="22"/>
          <w:szCs w:val="22"/>
          <w:lang w:val="en-US"/>
        </w:rPr>
        <w:t>C</w:t>
      </w:r>
      <w:r>
        <w:rPr>
          <w:rFonts w:eastAsiaTheme="minorEastAsia"/>
          <w:sz w:val="22"/>
          <w:szCs w:val="22"/>
          <w:lang w:val="en-US"/>
        </w:rPr>
        <w:t>ompanies have different interpretation</w:t>
      </w:r>
      <w:r w:rsidR="00CC4D24">
        <w:rPr>
          <w:rFonts w:eastAsiaTheme="minorEastAsia"/>
          <w:sz w:val="22"/>
          <w:szCs w:val="22"/>
          <w:lang w:val="en-US"/>
        </w:rPr>
        <w:t>s</w:t>
      </w:r>
      <w:r>
        <w:rPr>
          <w:rFonts w:eastAsiaTheme="minorEastAsia"/>
          <w:sz w:val="22"/>
          <w:szCs w:val="22"/>
          <w:lang w:val="en-US"/>
        </w:rPr>
        <w:t xml:space="preserve"> regarding the Rel-15/16 TPC command procedure in </w:t>
      </w:r>
      <w:r w:rsidR="00FD6037">
        <w:rPr>
          <w:rFonts w:eastAsiaTheme="minorEastAsia"/>
          <w:sz w:val="22"/>
          <w:szCs w:val="22"/>
          <w:lang w:val="en-US"/>
        </w:rPr>
        <w:t xml:space="preserve">the following </w:t>
      </w:r>
      <w:r>
        <w:rPr>
          <w:rFonts w:eastAsiaTheme="minorEastAsia"/>
          <w:sz w:val="22"/>
          <w:szCs w:val="22"/>
          <w:lang w:val="en-US"/>
        </w:rPr>
        <w:t>two aspects</w:t>
      </w:r>
      <w:r w:rsidR="00FD6037">
        <w:rPr>
          <w:rFonts w:eastAsiaTheme="minorEastAsia"/>
          <w:sz w:val="22"/>
          <w:szCs w:val="22"/>
          <w:lang w:val="en-US"/>
        </w:rPr>
        <w:t>.</w:t>
      </w:r>
      <w:r>
        <w:rPr>
          <w:rFonts w:eastAsiaTheme="minorEastAsia"/>
          <w:sz w:val="21"/>
          <w:szCs w:val="21"/>
        </w:rPr>
        <w:t xml:space="preserve"> </w:t>
      </w:r>
    </w:p>
    <w:p w14:paraId="78E8A14A" w14:textId="77777777" w:rsidR="00CC4D24" w:rsidRDefault="00CC4D24" w:rsidP="003714D0">
      <w:pPr>
        <w:rPr>
          <w:rFonts w:eastAsiaTheme="minorEastAsia"/>
          <w:sz w:val="21"/>
          <w:szCs w:val="21"/>
        </w:rPr>
      </w:pPr>
    </w:p>
    <w:p w14:paraId="7F0DF919" w14:textId="21636ECB" w:rsidR="00265A49" w:rsidRPr="00265A49" w:rsidRDefault="00265A49" w:rsidP="00265A49">
      <w:pPr>
        <w:pStyle w:val="aff6"/>
        <w:numPr>
          <w:ilvl w:val="0"/>
          <w:numId w:val="50"/>
        </w:numPr>
        <w:autoSpaceDE w:val="0"/>
        <w:autoSpaceDN w:val="0"/>
        <w:adjustRightInd w:val="0"/>
        <w:snapToGrid w:val="0"/>
        <w:spacing w:after="120" w:line="259" w:lineRule="auto"/>
        <w:ind w:leftChars="0"/>
        <w:jc w:val="both"/>
        <w:rPr>
          <w:b/>
          <w:sz w:val="21"/>
          <w:szCs w:val="21"/>
        </w:rPr>
      </w:pPr>
      <w:r>
        <w:rPr>
          <w:b/>
          <w:sz w:val="21"/>
          <w:szCs w:val="21"/>
        </w:rPr>
        <w:t>D</w:t>
      </w:r>
      <w:r w:rsidRPr="00265A49">
        <w:rPr>
          <w:b/>
          <w:sz w:val="21"/>
          <w:szCs w:val="21"/>
        </w:rPr>
        <w:t xml:space="preserve">efinition of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265A49">
        <w:rPr>
          <w:b/>
          <w:sz w:val="21"/>
          <w:szCs w:val="21"/>
        </w:rPr>
        <w:t xml:space="preserve"> for DG-PUSCH</w:t>
      </w:r>
      <w:r>
        <w:rPr>
          <w:b/>
          <w:sz w:val="21"/>
          <w:szCs w:val="21"/>
        </w:rPr>
        <w:t xml:space="preserve"> </w:t>
      </w:r>
    </w:p>
    <w:p w14:paraId="320391E8" w14:textId="498E8A1D" w:rsidR="00265A49" w:rsidRDefault="00FD6037" w:rsidP="00265A49">
      <w:pPr>
        <w:widowControl w:val="0"/>
        <w:spacing w:after="160" w:line="259" w:lineRule="auto"/>
        <w:jc w:val="both"/>
        <w:rPr>
          <w:sz w:val="21"/>
          <w:szCs w:val="21"/>
        </w:rPr>
      </w:pPr>
      <w:r>
        <w:rPr>
          <w:sz w:val="21"/>
          <w:szCs w:val="21"/>
        </w:rPr>
        <w:t xml:space="preserve">There are two interpretations; either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sidR="00265A49">
        <w:rPr>
          <w:sz w:val="21"/>
          <w:szCs w:val="21"/>
        </w:rPr>
        <w:t xml:space="preserve"> is defined as the number of OFDM symbols before a first symbol of </w:t>
      </w:r>
      <w:r>
        <w:rPr>
          <w:sz w:val="21"/>
          <w:szCs w:val="21"/>
        </w:rPr>
        <w:t>each</w:t>
      </w:r>
      <w:r w:rsidR="00265A49">
        <w:rPr>
          <w:sz w:val="21"/>
          <w:szCs w:val="21"/>
        </w:rPr>
        <w:t xml:space="preserve"> PUSCH transmission occasion </w:t>
      </w:r>
      <w:r w:rsidR="00265A49">
        <w:rPr>
          <w:i/>
          <w:iCs/>
          <w:sz w:val="21"/>
          <w:szCs w:val="21"/>
        </w:rPr>
        <w:t xml:space="preserve">i </w:t>
      </w:r>
      <w:r>
        <w:rPr>
          <w:sz w:val="21"/>
          <w:szCs w:val="21"/>
        </w:rPr>
        <w:t>or a first symbol of the first PUSCH repetition for a TB</w:t>
      </w:r>
      <w:r w:rsidR="00265A49">
        <w:rPr>
          <w:sz w:val="21"/>
          <w:szCs w:val="21"/>
        </w:rPr>
        <w:t xml:space="preserve">. </w:t>
      </w:r>
      <w:r>
        <w:rPr>
          <w:sz w:val="21"/>
          <w:szCs w:val="21"/>
        </w:rPr>
        <w:t xml:space="preserve">If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m:t>
        </m:r>
        <m:r>
          <w:rPr>
            <w:rFonts w:ascii="Cambria Math" w:hAnsi="Cambria Math"/>
            <w:sz w:val="21"/>
            <w:szCs w:val="21"/>
          </w:rPr>
          <m:t>i</m:t>
        </m:r>
        <m:r>
          <m:rPr>
            <m:sty m:val="p"/>
          </m:rPr>
          <w:rPr>
            <w:rFonts w:ascii="Cambria Math" w:hAnsi="Cambria Math"/>
            <w:sz w:val="21"/>
            <w:szCs w:val="21"/>
          </w:rPr>
          <m:t>)</m:t>
        </m:r>
      </m:oMath>
      <w:r>
        <w:rPr>
          <w:sz w:val="21"/>
          <w:szCs w:val="21"/>
        </w:rPr>
        <w:t xml:space="preserve"> is defined as the number of OFDM symbols before a first symbol of the first PUSCH repetition for a TB, the TPC command values over each PUSCH repetition is the same. Hence, there is no need to enhance </w:t>
      </w:r>
      <w:r w:rsidR="00CC4D24">
        <w:rPr>
          <w:sz w:val="21"/>
          <w:szCs w:val="21"/>
        </w:rPr>
        <w:t xml:space="preserve">the </w:t>
      </w:r>
      <w:r>
        <w:rPr>
          <w:sz w:val="21"/>
          <w:szCs w:val="21"/>
        </w:rPr>
        <w:t xml:space="preserve">TPC command procedure for DMRS bundling over DG PUSCH repetitions in that case. </w:t>
      </w:r>
    </w:p>
    <w:p w14:paraId="1F160D23" w14:textId="4A089B62" w:rsidR="00FD6037" w:rsidRPr="004D2B38" w:rsidRDefault="00FD6037" w:rsidP="00FD6037">
      <w:pPr>
        <w:rPr>
          <w:b/>
          <w:bCs/>
          <w:sz w:val="21"/>
          <w:szCs w:val="21"/>
        </w:rPr>
      </w:pPr>
      <w:r w:rsidRPr="004D2B38">
        <w:rPr>
          <w:b/>
          <w:bCs/>
          <w:sz w:val="22"/>
          <w:szCs w:val="22"/>
          <w:u w:val="single"/>
        </w:rPr>
        <w:t>Observation 1:</w:t>
      </w:r>
      <w:r w:rsidRPr="004D2B38">
        <w:rPr>
          <w:b/>
          <w:bCs/>
          <w:sz w:val="22"/>
          <w:szCs w:val="22"/>
        </w:rPr>
        <w:t xml:space="preserve"> </w:t>
      </w:r>
      <w:r w:rsidRPr="00FD6037">
        <w:rPr>
          <w:b/>
          <w:bCs/>
          <w:sz w:val="22"/>
          <w:szCs w:val="22"/>
        </w:rPr>
        <w:t xml:space="preserve">If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FD6037">
        <w:rPr>
          <w:b/>
          <w:bCs/>
          <w:sz w:val="22"/>
          <w:szCs w:val="22"/>
        </w:rPr>
        <w:t xml:space="preserve"> is defined as the number of OFDM symbols before a first symbol of the first PUSCH repetition for a TB, there is no need to enhance TPC command procedure for DMRS bundling over DG PUSCH repetitions.</w:t>
      </w:r>
      <w:r w:rsidRPr="004D2B38">
        <w:rPr>
          <w:b/>
          <w:bCs/>
          <w:sz w:val="21"/>
          <w:szCs w:val="21"/>
        </w:rPr>
        <w:t xml:space="preserve"> </w:t>
      </w:r>
    </w:p>
    <w:p w14:paraId="65C4947F" w14:textId="77777777" w:rsidR="00FD6037" w:rsidRPr="00CC4D24" w:rsidRDefault="00FD6037" w:rsidP="00265A49">
      <w:pPr>
        <w:widowControl w:val="0"/>
        <w:spacing w:after="160" w:line="259" w:lineRule="auto"/>
        <w:jc w:val="both"/>
        <w:rPr>
          <w:sz w:val="21"/>
          <w:szCs w:val="21"/>
        </w:rPr>
      </w:pPr>
    </w:p>
    <w:p w14:paraId="5FCE8423" w14:textId="33138F92" w:rsidR="00FD6037" w:rsidRDefault="00FD6037" w:rsidP="00265A49">
      <w:pPr>
        <w:pStyle w:val="aff6"/>
        <w:numPr>
          <w:ilvl w:val="0"/>
          <w:numId w:val="50"/>
        </w:numPr>
        <w:autoSpaceDE w:val="0"/>
        <w:autoSpaceDN w:val="0"/>
        <w:adjustRightInd w:val="0"/>
        <w:snapToGrid w:val="0"/>
        <w:spacing w:after="120" w:line="259" w:lineRule="auto"/>
        <w:ind w:leftChars="0"/>
        <w:jc w:val="both"/>
        <w:rPr>
          <w:b/>
          <w:sz w:val="21"/>
          <w:szCs w:val="21"/>
        </w:rPr>
      </w:pPr>
      <w:r>
        <w:rPr>
          <w:b/>
          <w:sz w:val="21"/>
          <w:szCs w:val="21"/>
        </w:rPr>
        <w:lastRenderedPageBreak/>
        <w:t>Absolute TPC command with DCI format 2_2</w:t>
      </w:r>
      <w:r w:rsidR="00FA0577">
        <w:rPr>
          <w:b/>
          <w:sz w:val="21"/>
          <w:szCs w:val="21"/>
        </w:rPr>
        <w:t xml:space="preserve"> for CG PUSCH</w:t>
      </w:r>
    </w:p>
    <w:p w14:paraId="2A612464" w14:textId="1882471F" w:rsidR="00815DA6" w:rsidRDefault="00265A49" w:rsidP="00815DA6">
      <w:pPr>
        <w:autoSpaceDE w:val="0"/>
        <w:autoSpaceDN w:val="0"/>
        <w:adjustRightInd w:val="0"/>
        <w:snapToGrid w:val="0"/>
        <w:spacing w:after="120" w:line="259" w:lineRule="auto"/>
        <w:jc w:val="both"/>
        <w:rPr>
          <w:bCs/>
          <w:sz w:val="21"/>
          <w:szCs w:val="21"/>
        </w:rPr>
      </w:pPr>
      <w:r w:rsidRPr="00FD6037">
        <w:rPr>
          <w:bCs/>
          <w:sz w:val="21"/>
          <w:szCs w:val="21"/>
        </w:rPr>
        <w:t>I</w:t>
      </w:r>
      <w:r w:rsidR="00FD6037">
        <w:rPr>
          <w:bCs/>
          <w:sz w:val="21"/>
          <w:szCs w:val="21"/>
        </w:rPr>
        <w:t xml:space="preserve">t is still unclear </w:t>
      </w:r>
      <w:r w:rsidR="00FA0577">
        <w:rPr>
          <w:bCs/>
          <w:sz w:val="21"/>
          <w:szCs w:val="21"/>
        </w:rPr>
        <w:t xml:space="preserve">whether to support group common TPC for CG PUSCH. In the current specification, there is no clear procedure for </w:t>
      </w:r>
      <w:r w:rsidR="00FA0577" w:rsidRPr="004C710B">
        <w:rPr>
          <w:rFonts w:eastAsiaTheme="minorEastAsia"/>
          <w:sz w:val="22"/>
          <w:szCs w:val="22"/>
          <w:lang w:val="en-US"/>
        </w:rPr>
        <w:t xml:space="preserve">PUSCH power control adjustment </w:t>
      </w:r>
      <w:r w:rsidR="00FA0577">
        <w:rPr>
          <w:rFonts w:eastAsiaTheme="minorEastAsia"/>
          <w:sz w:val="22"/>
          <w:szCs w:val="22"/>
          <w:lang w:val="en-US"/>
        </w:rPr>
        <w:t xml:space="preserve">state for CG PUSCH when </w:t>
      </w:r>
      <w:r w:rsidR="00FA0577" w:rsidRPr="00FA0577">
        <w:rPr>
          <w:rFonts w:eastAsiaTheme="minorEastAsia"/>
          <w:sz w:val="22"/>
          <w:szCs w:val="22"/>
        </w:rPr>
        <w:t xml:space="preserve">UE is provided </w:t>
      </w:r>
      <w:r w:rsidR="00FA0577" w:rsidRPr="00FA0577">
        <w:rPr>
          <w:rFonts w:eastAsiaTheme="minorEastAsia"/>
          <w:i/>
          <w:iCs/>
          <w:sz w:val="22"/>
          <w:szCs w:val="22"/>
        </w:rPr>
        <w:t>tpc-Accumulation</w:t>
      </w:r>
      <w:r w:rsidR="00FA0577">
        <w:rPr>
          <w:rFonts w:eastAsiaTheme="minorEastAsia"/>
          <w:sz w:val="22"/>
          <w:szCs w:val="22"/>
        </w:rPr>
        <w:t xml:space="preserve">. </w:t>
      </w:r>
      <w:r w:rsidR="00FA0577">
        <w:rPr>
          <w:bCs/>
          <w:sz w:val="21"/>
          <w:szCs w:val="21"/>
        </w:rPr>
        <w:t>Before the discussion of absolute TPC command by DCI format 2_2 for CG PUSCH</w:t>
      </w:r>
      <w:r w:rsidR="00815DA6">
        <w:rPr>
          <w:bCs/>
          <w:sz w:val="21"/>
          <w:szCs w:val="21"/>
        </w:rPr>
        <w:t xml:space="preserve"> under DMRS bundling</w:t>
      </w:r>
      <w:r w:rsidR="00FA0577">
        <w:rPr>
          <w:bCs/>
          <w:sz w:val="21"/>
          <w:szCs w:val="21"/>
        </w:rPr>
        <w:t xml:space="preserve">, RAN1 should clarify </w:t>
      </w:r>
      <w:r w:rsidR="00815DA6">
        <w:rPr>
          <w:bCs/>
          <w:sz w:val="21"/>
          <w:szCs w:val="21"/>
        </w:rPr>
        <w:t>whether to support a</w:t>
      </w:r>
      <w:r w:rsidR="00815DA6" w:rsidRPr="00815DA6">
        <w:rPr>
          <w:bCs/>
          <w:sz w:val="21"/>
          <w:szCs w:val="21"/>
        </w:rPr>
        <w:t>bsolute TPC command with DCI format 2_2 for CG PUSCH</w:t>
      </w:r>
      <w:r w:rsidR="00CC4D24">
        <w:rPr>
          <w:bCs/>
          <w:sz w:val="21"/>
          <w:szCs w:val="21"/>
        </w:rPr>
        <w:t xml:space="preserve"> in Rel-15/16.</w:t>
      </w:r>
    </w:p>
    <w:p w14:paraId="38D6FFC5" w14:textId="6BBDD08A" w:rsidR="00265A49" w:rsidRDefault="00815DA6" w:rsidP="00815DA6">
      <w:pPr>
        <w:autoSpaceDE w:val="0"/>
        <w:autoSpaceDN w:val="0"/>
        <w:adjustRightInd w:val="0"/>
        <w:snapToGrid w:val="0"/>
        <w:spacing w:after="120" w:line="259" w:lineRule="auto"/>
        <w:jc w:val="both"/>
        <w:rPr>
          <w:b/>
          <w:sz w:val="21"/>
          <w:szCs w:val="21"/>
        </w:rPr>
      </w:pPr>
      <w:r w:rsidRPr="00815DA6">
        <w:rPr>
          <w:rFonts w:eastAsia="游明朝"/>
          <w:b/>
          <w:sz w:val="22"/>
          <w:szCs w:val="22"/>
          <w:u w:val="single"/>
          <w:lang w:val="en-US"/>
        </w:rPr>
        <w:t>Proposal 2</w:t>
      </w:r>
      <w:r w:rsidRPr="00815DA6">
        <w:rPr>
          <w:rFonts w:eastAsia="游明朝"/>
          <w:b/>
          <w:sz w:val="22"/>
          <w:szCs w:val="22"/>
          <w:u w:val="single"/>
        </w:rPr>
        <w:t>:</w:t>
      </w:r>
      <w:r w:rsidRPr="00815DA6">
        <w:rPr>
          <w:rFonts w:eastAsia="游明朝" w:hint="eastAsia"/>
          <w:b/>
          <w:sz w:val="22"/>
          <w:szCs w:val="22"/>
        </w:rPr>
        <w:t xml:space="preserve"> </w:t>
      </w:r>
      <w:r w:rsidRPr="00815DA6">
        <w:rPr>
          <w:rFonts w:eastAsia="游明朝"/>
          <w:b/>
          <w:sz w:val="22"/>
          <w:szCs w:val="22"/>
        </w:rPr>
        <w:t xml:space="preserve">Clarify the interpretation regarding the Rel-15/16 TPC command procedure in two aspects: </w:t>
      </w:r>
      <w:r w:rsidRPr="00815DA6">
        <w:rPr>
          <w:b/>
          <w:sz w:val="21"/>
          <w:szCs w:val="21"/>
        </w:rPr>
        <w:t xml:space="preserve">definition of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815DA6">
        <w:rPr>
          <w:b/>
          <w:sz w:val="21"/>
          <w:szCs w:val="21"/>
        </w:rPr>
        <w:t xml:space="preserve"> for DG-PUSCH and absolute TPC command with DCI format 2_2 for CG PUSCH.</w:t>
      </w:r>
    </w:p>
    <w:p w14:paraId="7D4F8757" w14:textId="77777777" w:rsidR="00815DA6" w:rsidRPr="00815DA6" w:rsidRDefault="00815DA6" w:rsidP="00815DA6">
      <w:pPr>
        <w:autoSpaceDE w:val="0"/>
        <w:autoSpaceDN w:val="0"/>
        <w:adjustRightInd w:val="0"/>
        <w:snapToGrid w:val="0"/>
        <w:spacing w:after="120" w:line="259" w:lineRule="auto"/>
        <w:jc w:val="both"/>
        <w:rPr>
          <w:b/>
          <w:sz w:val="21"/>
          <w:szCs w:val="21"/>
        </w:rPr>
      </w:pPr>
    </w:p>
    <w:p w14:paraId="02188E1D" w14:textId="4FD5B1EB" w:rsidR="003714D0" w:rsidRDefault="003714D0" w:rsidP="003714D0">
      <w:pPr>
        <w:rPr>
          <w:rFonts w:eastAsiaTheme="minorEastAsia"/>
          <w:sz w:val="22"/>
          <w:szCs w:val="22"/>
          <w:lang w:val="en-US"/>
        </w:rPr>
      </w:pPr>
      <w:r w:rsidRPr="00E0698C">
        <w:rPr>
          <w:rFonts w:eastAsiaTheme="minorEastAsia"/>
          <w:sz w:val="22"/>
          <w:szCs w:val="22"/>
          <w:lang w:val="en-US"/>
        </w:rPr>
        <w:t xml:space="preserve">At </w:t>
      </w:r>
      <w:r w:rsidR="002C451F">
        <w:rPr>
          <w:rFonts w:eastAsiaTheme="minorEastAsia"/>
          <w:sz w:val="22"/>
          <w:szCs w:val="22"/>
          <w:lang w:val="en-US"/>
        </w:rPr>
        <w:t xml:space="preserve">the </w:t>
      </w:r>
      <w:r w:rsidRPr="00E0698C">
        <w:rPr>
          <w:rFonts w:eastAsiaTheme="minorEastAsia"/>
          <w:sz w:val="22"/>
          <w:szCs w:val="22"/>
          <w:lang w:val="en-US"/>
        </w:rPr>
        <w:t>RAN</w:t>
      </w:r>
      <w:r>
        <w:rPr>
          <w:rFonts w:eastAsiaTheme="minorEastAsia"/>
          <w:sz w:val="22"/>
          <w:szCs w:val="22"/>
          <w:lang w:val="en-US"/>
        </w:rPr>
        <w:t>1</w:t>
      </w:r>
      <w:r w:rsidRPr="00E0698C">
        <w:rPr>
          <w:rFonts w:eastAsiaTheme="minorEastAsia"/>
          <w:sz w:val="22"/>
          <w:szCs w:val="22"/>
          <w:lang w:val="en-US"/>
        </w:rPr>
        <w:t>#</w:t>
      </w:r>
      <w:r>
        <w:rPr>
          <w:rFonts w:eastAsiaTheme="minorEastAsia"/>
          <w:sz w:val="22"/>
          <w:szCs w:val="22"/>
          <w:lang w:val="en-US"/>
        </w:rPr>
        <w:t>107</w:t>
      </w:r>
      <w:r w:rsidRPr="00E0698C">
        <w:rPr>
          <w:rFonts w:eastAsiaTheme="minorEastAsia"/>
          <w:sz w:val="22"/>
          <w:szCs w:val="22"/>
          <w:lang w:val="en-US"/>
        </w:rPr>
        <w:t xml:space="preserve">-e meeting, </w:t>
      </w:r>
      <w:r>
        <w:rPr>
          <w:rFonts w:eastAsiaTheme="minorEastAsia"/>
          <w:sz w:val="22"/>
          <w:szCs w:val="22"/>
          <w:lang w:val="en-US"/>
        </w:rPr>
        <w:t xml:space="preserve">the following three approaches were brought </w:t>
      </w:r>
      <w:r w:rsidR="00D83727">
        <w:rPr>
          <w:rFonts w:eastAsiaTheme="minorEastAsia"/>
          <w:sz w:val="22"/>
          <w:szCs w:val="22"/>
          <w:lang w:val="en-US"/>
        </w:rPr>
        <w:t>up</w:t>
      </w:r>
      <w:r>
        <w:rPr>
          <w:rFonts w:eastAsiaTheme="minorEastAsia"/>
          <w:sz w:val="22"/>
          <w:szCs w:val="22"/>
          <w:lang w:val="en-US"/>
        </w:rPr>
        <w:t xml:space="preserve"> to maintain power continuity when DMRS bundling is applied </w:t>
      </w:r>
      <w:r w:rsidRPr="00E0698C">
        <w:rPr>
          <w:rFonts w:eastAsiaTheme="minorEastAsia"/>
          <w:sz w:val="22"/>
          <w:szCs w:val="22"/>
          <w:lang w:val="en-US"/>
        </w:rPr>
        <w:t>[</w:t>
      </w:r>
      <w:r>
        <w:rPr>
          <w:rFonts w:eastAsiaTheme="minorEastAsia"/>
          <w:sz w:val="22"/>
          <w:szCs w:val="22"/>
          <w:lang w:val="en-US"/>
        </w:rPr>
        <w:t>2</w:t>
      </w:r>
      <w:r w:rsidRPr="00E0698C">
        <w:rPr>
          <w:rFonts w:eastAsiaTheme="minorEastAsia"/>
          <w:sz w:val="22"/>
          <w:szCs w:val="22"/>
          <w:lang w:val="en-US"/>
        </w:rPr>
        <w:t>].</w:t>
      </w:r>
    </w:p>
    <w:p w14:paraId="3E1A5FAF" w14:textId="14D587F4" w:rsidR="003714D0" w:rsidRPr="00D83727" w:rsidRDefault="003714D0" w:rsidP="005025F7">
      <w:pPr>
        <w:rPr>
          <w:b/>
          <w:bCs/>
          <w:sz w:val="22"/>
          <w:szCs w:val="22"/>
          <w:u w:val="single"/>
          <w:lang w:val="en-US"/>
        </w:rPr>
      </w:pPr>
    </w:p>
    <w:tbl>
      <w:tblPr>
        <w:tblStyle w:val="aff4"/>
        <w:tblW w:w="0" w:type="auto"/>
        <w:jc w:val="center"/>
        <w:tblLook w:val="04A0" w:firstRow="1" w:lastRow="0" w:firstColumn="1" w:lastColumn="0" w:noHBand="0" w:noVBand="1"/>
      </w:tblPr>
      <w:tblGrid>
        <w:gridCol w:w="9962"/>
      </w:tblGrid>
      <w:tr w:rsidR="003714D0" w:rsidRPr="00A31D60" w14:paraId="1151FACA" w14:textId="77777777" w:rsidTr="00B06AE3">
        <w:trPr>
          <w:trHeight w:val="1833"/>
          <w:jc w:val="center"/>
        </w:trPr>
        <w:tc>
          <w:tcPr>
            <w:tcW w:w="9962" w:type="dxa"/>
          </w:tcPr>
          <w:p w14:paraId="6FB6C931" w14:textId="77777777" w:rsidR="00E60407" w:rsidRDefault="00E60407" w:rsidP="00E60407">
            <w:pPr>
              <w:pStyle w:val="aff6"/>
              <w:numPr>
                <w:ilvl w:val="0"/>
                <w:numId w:val="45"/>
              </w:numPr>
              <w:autoSpaceDE/>
              <w:autoSpaceDN/>
              <w:adjustRightInd/>
              <w:spacing w:before="156" w:after="0"/>
              <w:ind w:leftChars="0" w:left="422" w:hanging="422"/>
              <w:jc w:val="both"/>
              <w:rPr>
                <w:sz w:val="21"/>
                <w:szCs w:val="21"/>
              </w:rPr>
            </w:pPr>
            <w:r>
              <w:rPr>
                <w:b/>
                <w:sz w:val="21"/>
                <w:szCs w:val="21"/>
              </w:rPr>
              <w:t>Option 1:</w:t>
            </w:r>
            <w:r>
              <w:rPr>
                <w:sz w:val="21"/>
                <w:szCs w:val="21"/>
              </w:rPr>
              <w:t xml:space="preserve"> Modify the definition of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Pr>
                <w:sz w:val="21"/>
                <w:szCs w:val="21"/>
              </w:rPr>
              <w:t xml:space="preserve">, e.g.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Pr>
                <w:sz w:val="21"/>
                <w:szCs w:val="21"/>
              </w:rPr>
              <w:t xml:space="preserve"> is a number of symbols from the first symbol of the nominal time domain window including the transmission occasion </w:t>
            </w:r>
            <w:r>
              <w:rPr>
                <w:i/>
                <w:sz w:val="21"/>
                <w:szCs w:val="21"/>
              </w:rPr>
              <w:t>i</w:t>
            </w:r>
            <w:r>
              <w:rPr>
                <w:sz w:val="21"/>
                <w:szCs w:val="21"/>
              </w:rPr>
              <w:t xml:space="preserve"> and before a first symbol of the transmission occasion </w:t>
            </w:r>
            <w:r>
              <w:rPr>
                <w:i/>
                <w:sz w:val="21"/>
                <w:szCs w:val="21"/>
              </w:rPr>
              <w:t>i</w:t>
            </w:r>
            <w:r>
              <w:rPr>
                <w:sz w:val="21"/>
                <w:szCs w:val="21"/>
              </w:rPr>
              <w:t>.</w:t>
            </w:r>
          </w:p>
          <w:p w14:paraId="360495C7" w14:textId="77777777" w:rsidR="003714D0" w:rsidRDefault="003714D0" w:rsidP="003714D0">
            <w:pPr>
              <w:pStyle w:val="aff6"/>
              <w:numPr>
                <w:ilvl w:val="0"/>
                <w:numId w:val="45"/>
              </w:numPr>
              <w:autoSpaceDE/>
              <w:autoSpaceDN/>
              <w:adjustRightInd/>
              <w:spacing w:before="156" w:after="0"/>
              <w:ind w:leftChars="0" w:left="422" w:hanging="422"/>
              <w:jc w:val="both"/>
              <w:rPr>
                <w:sz w:val="21"/>
                <w:szCs w:val="21"/>
              </w:rPr>
            </w:pPr>
            <w:r>
              <w:rPr>
                <w:b/>
                <w:sz w:val="21"/>
                <w:szCs w:val="21"/>
              </w:rPr>
              <w:t>Option 2:</w:t>
            </w:r>
            <w:r>
              <w:rPr>
                <w:sz w:val="21"/>
                <w:szCs w:val="21"/>
              </w:rPr>
              <w:t xml:space="preserve"> Modify the 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e.g. if transmission occasion </w:t>
            </w:r>
            <w:r>
              <w:rPr>
                <w:i/>
                <w:sz w:val="21"/>
                <w:szCs w:val="21"/>
              </w:rPr>
              <w:t>i</w:t>
            </w:r>
            <w:r>
              <w:rPr>
                <w:sz w:val="21"/>
                <w:szCs w:val="21"/>
              </w:rPr>
              <w:t xml:space="preserve"> is not the first transmission occasion within a nominal time domain window, then any TPC command values received via DCI format 2_2 contained in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sz w:val="21"/>
                <w:szCs w:val="21"/>
              </w:rPr>
              <w:t xml:space="preserve"> are deleted and added to the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j</m:t>
                  </m:r>
                </m:sub>
              </m:sSub>
            </m:oMath>
            <w:r>
              <w:rPr>
                <w:sz w:val="21"/>
                <w:szCs w:val="21"/>
              </w:rPr>
              <w:t xml:space="preserve"> where </w:t>
            </w:r>
            <w:r>
              <w:rPr>
                <w:i/>
                <w:sz w:val="21"/>
                <w:szCs w:val="21"/>
              </w:rPr>
              <w:t>j</w:t>
            </w:r>
            <w:r>
              <w:rPr>
                <w:sz w:val="21"/>
                <w:szCs w:val="21"/>
              </w:rPr>
              <w:t xml:space="preserve"> is a transmission occasion occurring after the end of the nominal time domain window.</w:t>
            </w:r>
          </w:p>
          <w:p w14:paraId="12819C33" w14:textId="61C57D78" w:rsidR="003714D0" w:rsidRPr="003714D0" w:rsidRDefault="003714D0" w:rsidP="003714D0">
            <w:pPr>
              <w:pStyle w:val="aff6"/>
              <w:numPr>
                <w:ilvl w:val="0"/>
                <w:numId w:val="45"/>
              </w:numPr>
              <w:autoSpaceDE/>
              <w:autoSpaceDN/>
              <w:adjustRightInd/>
              <w:spacing w:before="156" w:after="0"/>
              <w:ind w:leftChars="0" w:left="422" w:hanging="422"/>
              <w:jc w:val="both"/>
              <w:rPr>
                <w:sz w:val="21"/>
                <w:szCs w:val="21"/>
              </w:rPr>
            </w:pPr>
            <w:r>
              <w:rPr>
                <w:b/>
                <w:sz w:val="21"/>
                <w:szCs w:val="21"/>
              </w:rPr>
              <w:t>Option 3:</w:t>
            </w:r>
            <w:r>
              <w:rPr>
                <w:sz w:val="21"/>
                <w:szCs w:val="21"/>
              </w:rPr>
              <w:t xml:space="preserve"> Modify the </w:t>
            </w:r>
            <w:r w:rsidR="00D83727">
              <w:rPr>
                <w:sz w:val="21"/>
                <w:szCs w:val="21"/>
              </w:rPr>
              <w:t>behaviour</w:t>
            </w:r>
            <w:r>
              <w:rPr>
                <w:sz w:val="21"/>
                <w:szCs w:val="21"/>
              </w:rPr>
              <w:t xml:space="preserve"> for accumulating TPC command value, e.g. </w:t>
            </w:r>
            <w:r>
              <w:rPr>
                <w:rFonts w:hint="eastAsia"/>
                <w:sz w:val="21"/>
                <w:szCs w:val="21"/>
              </w:rPr>
              <w:t>①</w:t>
            </w:r>
            <w:r>
              <w:rPr>
                <w:sz w:val="21"/>
                <w:szCs w:val="21"/>
              </w:rPr>
              <w:t xml:space="preserve"> For a transmission occasion </w:t>
            </w:r>
            <m:oMath>
              <m:r>
                <w:rPr>
                  <w:rFonts w:ascii="Cambria Math" w:hAnsi="Cambria Math"/>
                  <w:sz w:val="21"/>
                  <w:szCs w:val="21"/>
                </w:rPr>
                <m:t>i</m:t>
              </m:r>
            </m:oMath>
            <w:r>
              <w:rPr>
                <w:sz w:val="21"/>
                <w:szCs w:val="21"/>
              </w:rPr>
              <w:t xml:space="preserve"> occurs within a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1</m:t>
                      </m:r>
                    </m:sub>
                  </m:sSub>
                </m:sub>
              </m:sSub>
            </m:oMath>
            <w:r>
              <w:rPr>
                <w:sz w:val="21"/>
                <w:szCs w:val="21"/>
              </w:rPr>
              <w:t xml:space="preserve">, where transmission occasion </w:t>
            </w:r>
            <m:oMath>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1</m:t>
                  </m:r>
                </m:sub>
              </m:sSub>
            </m:oMath>
            <w:r>
              <w:rPr>
                <w:sz w:val="21"/>
                <w:szCs w:val="21"/>
              </w:rPr>
              <w:t xml:space="preserve"> is a first transmission occasion within the nominal time domain window; </w:t>
            </w:r>
            <w:r>
              <w:rPr>
                <w:rFonts w:hint="eastAsia"/>
                <w:sz w:val="21"/>
                <w:szCs w:val="21"/>
              </w:rPr>
              <w:t>②</w:t>
            </w:r>
            <w:r>
              <w:rPr>
                <w:sz w:val="21"/>
                <w:szCs w:val="21"/>
              </w:rPr>
              <w:t xml:space="preserve"> for the first transmission occasion </w:t>
            </w:r>
            <m:oMath>
              <m:r>
                <w:rPr>
                  <w:rFonts w:ascii="Cambria Math" w:hAnsi="Cambria Math"/>
                  <w:sz w:val="21"/>
                  <w:szCs w:val="21"/>
                </w:rPr>
                <m:t>i</m:t>
              </m:r>
            </m:oMath>
            <w:r>
              <w:rPr>
                <w:sz w:val="21"/>
                <w:szCs w:val="21"/>
              </w:rPr>
              <w:t xml:space="preserve"> occurs after the nominal time domain window,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i</m:t>
                  </m:r>
                </m:sub>
              </m:sSub>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f</m:t>
                  </m:r>
                </m:e>
                <m:sub>
                  <m:sSub>
                    <m:sSubPr>
                      <m:ctrlPr>
                        <w:rPr>
                          <w:rFonts w:ascii="Cambria Math" w:hAnsi="Cambria Math"/>
                          <w:sz w:val="21"/>
                          <w:szCs w:val="21"/>
                        </w:rPr>
                      </m:ctrlPr>
                    </m:sSubPr>
                    <m:e>
                      <m:r>
                        <w:rPr>
                          <w:rFonts w:ascii="Cambria Math" w:hAnsi="Cambria Math"/>
                          <w:sz w:val="21"/>
                          <w:szCs w:val="21"/>
                        </w:rPr>
                        <m:t>i</m:t>
                      </m:r>
                    </m:e>
                    <m:sub>
                      <m:r>
                        <m:rPr>
                          <m:sty m:val="p"/>
                        </m:rPr>
                        <w:rPr>
                          <w:rFonts w:ascii="Cambria Math" w:hAnsi="Cambria Math"/>
                          <w:sz w:val="21"/>
                          <w:szCs w:val="21"/>
                        </w:rPr>
                        <m:t>1</m:t>
                      </m:r>
                    </m:sub>
                  </m:sSub>
                </m:sub>
              </m:sSub>
              <m:r>
                <m:rPr>
                  <m:sty m:val="p"/>
                </m:rPr>
                <w:rPr>
                  <w:rFonts w:ascii="Cambria Math" w:hAnsi="Cambria Math"/>
                  <w:sz w:val="21"/>
                  <w:szCs w:val="21"/>
                </w:rPr>
                <m:t>+</m:t>
              </m:r>
              <m:nary>
                <m:naryPr>
                  <m:chr m:val="∑"/>
                  <m:limLoc m:val="undOvr"/>
                  <m:subHide m:val="1"/>
                  <m:supHide m:val="1"/>
                  <m:ctrlPr>
                    <w:rPr>
                      <w:rFonts w:ascii="Cambria Math" w:hAnsi="Cambria Math"/>
                      <w:sz w:val="21"/>
                      <w:szCs w:val="21"/>
                    </w:rPr>
                  </m:ctrlPr>
                </m:naryPr>
                <m:sub/>
                <m:sup/>
                <m:e>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i</m:t>
                      </m:r>
                    </m:sub>
                  </m:sSub>
                </m:e>
              </m:nary>
            </m:oMath>
            <w:r>
              <w:rPr>
                <w:sz w:val="21"/>
                <w:szCs w:val="21"/>
              </w:rPr>
              <w:t xml:space="preserve">, where </w:t>
            </w:r>
            <m:oMath>
              <m:sSub>
                <m:sSubPr>
                  <m:ctrlPr>
                    <w:rPr>
                      <w:rFonts w:ascii="Cambria Math" w:hAnsi="Cambria Math"/>
                      <w:sz w:val="21"/>
                      <w:szCs w:val="21"/>
                    </w:rPr>
                  </m:ctrlPr>
                </m:sSubPr>
                <m:e>
                  <m:r>
                    <w:rPr>
                      <w:rFonts w:ascii="Cambria Math" w:hAnsi="Cambria Math"/>
                      <w:sz w:val="21"/>
                      <w:szCs w:val="21"/>
                    </w:rPr>
                    <m:t>δ</m:t>
                  </m:r>
                </m:e>
                <m:sub>
                  <m:r>
                    <w:rPr>
                      <w:rFonts w:ascii="Cambria Math" w:hAnsi="Cambria Math"/>
                      <w:sz w:val="21"/>
                      <w:szCs w:val="21"/>
                    </w:rPr>
                    <m:t>i</m:t>
                  </m:r>
                </m:sub>
              </m:sSub>
            </m:oMath>
            <w:r>
              <w:rPr>
                <w:sz w:val="21"/>
                <w:szCs w:val="21"/>
              </w:rPr>
              <w:t xml:space="preserve"> is the TPC command values that would take effect </w:t>
            </w:r>
            <w:r>
              <w:rPr>
                <w:rFonts w:hint="eastAsia"/>
                <w:sz w:val="21"/>
                <w:szCs w:val="21"/>
              </w:rPr>
              <w:t xml:space="preserve">between the first symbol of </w:t>
            </w:r>
            <w:r>
              <w:rPr>
                <w:sz w:val="21"/>
                <w:szCs w:val="21"/>
              </w:rPr>
              <w:t>the previous nominal time domain window and</w:t>
            </w:r>
            <w:r>
              <w:rPr>
                <w:rFonts w:hint="eastAsia"/>
                <w:sz w:val="21"/>
                <w:szCs w:val="21"/>
              </w:rPr>
              <w:t xml:space="preserve"> </w:t>
            </w:r>
            <w:r>
              <w:rPr>
                <w:sz w:val="21"/>
                <w:szCs w:val="21"/>
              </w:rPr>
              <w:t>the first symbol of current nominal time domain window.</w:t>
            </w:r>
          </w:p>
        </w:tc>
      </w:tr>
    </w:tbl>
    <w:p w14:paraId="5ECD6B23" w14:textId="77777777" w:rsidR="003714D0" w:rsidRPr="005025F7" w:rsidRDefault="003714D0" w:rsidP="005025F7">
      <w:pPr>
        <w:rPr>
          <w:b/>
          <w:bCs/>
          <w:sz w:val="22"/>
          <w:szCs w:val="22"/>
          <w:u w:val="single"/>
        </w:rPr>
      </w:pPr>
    </w:p>
    <w:p w14:paraId="7E53D1D8" w14:textId="473DDDFC" w:rsidR="004D2B38" w:rsidRDefault="00D83727" w:rsidP="00AB514D">
      <w:pPr>
        <w:rPr>
          <w:sz w:val="22"/>
          <w:szCs w:val="22"/>
        </w:rPr>
      </w:pPr>
      <w:r>
        <w:rPr>
          <w:sz w:val="22"/>
          <w:szCs w:val="22"/>
          <w:lang w:val="en-US"/>
        </w:rPr>
        <w:t xml:space="preserve">The goal of three options is the same, </w:t>
      </w:r>
      <w:r w:rsidR="002C451F">
        <w:rPr>
          <w:sz w:val="22"/>
          <w:szCs w:val="22"/>
          <w:lang w:val="en-US"/>
        </w:rPr>
        <w:t xml:space="preserve">which is </w:t>
      </w:r>
      <w:r>
        <w:rPr>
          <w:sz w:val="22"/>
          <w:szCs w:val="22"/>
          <w:lang w:val="en-US"/>
        </w:rPr>
        <w:t xml:space="preserve">the constant transmitted power within a nominal TDW. However, only the Option 1 is </w:t>
      </w:r>
      <w:r w:rsidR="00791194">
        <w:rPr>
          <w:sz w:val="22"/>
          <w:szCs w:val="22"/>
          <w:lang w:val="en-US"/>
        </w:rPr>
        <w:t>different from other options in a sense that the</w:t>
      </w:r>
      <w:r w:rsidR="00272FE2">
        <w:rPr>
          <w:sz w:val="22"/>
          <w:szCs w:val="22"/>
          <w:lang w:val="en-US"/>
        </w:rPr>
        <w:t xml:space="preserve"> </w:t>
      </w:r>
      <w:r w:rsidR="00931678">
        <w:rPr>
          <w:sz w:val="22"/>
          <w:szCs w:val="22"/>
          <w:lang w:val="en-US"/>
        </w:rPr>
        <w:t xml:space="preserve">TPC command reference </w:t>
      </w:r>
      <w:r w:rsidR="00272FE2">
        <w:rPr>
          <w:sz w:val="22"/>
          <w:szCs w:val="22"/>
          <w:lang w:val="en-US"/>
        </w:rPr>
        <w:t>period</w:t>
      </w:r>
      <w:r w:rsidR="008B4644">
        <w:rPr>
          <w:sz w:val="22"/>
          <w:szCs w:val="22"/>
          <w:lang w:val="en-US"/>
        </w:rPr>
        <w:t xml:space="preserve"> </w:t>
      </w:r>
      <w:r w:rsidR="00272FE2">
        <w:rPr>
          <w:sz w:val="22"/>
          <w:szCs w:val="22"/>
          <w:lang w:val="en-US"/>
        </w:rPr>
        <w:t>is determined by</w:t>
      </w:r>
      <w:r w:rsidR="00791194">
        <w:rPr>
          <w:sz w:val="22"/>
          <w:szCs w:val="22"/>
          <w:lang w:val="en-US"/>
        </w:rPr>
        <w:t xml:space="preserve">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00791194">
        <w:rPr>
          <w:sz w:val="22"/>
          <w:szCs w:val="22"/>
          <w:lang w:val="en-US"/>
        </w:rPr>
        <w:t xml:space="preserve"> before nominal TDW but not the first transmission occasion within a </w:t>
      </w:r>
      <w:r w:rsidR="00272FE2">
        <w:rPr>
          <w:sz w:val="22"/>
          <w:szCs w:val="22"/>
          <w:lang w:val="en-US"/>
        </w:rPr>
        <w:t>nominal TDW</w:t>
      </w:r>
      <w:r w:rsidR="00791194">
        <w:rPr>
          <w:sz w:val="22"/>
          <w:szCs w:val="22"/>
          <w:lang w:val="en-US"/>
        </w:rPr>
        <w:t>.</w:t>
      </w:r>
      <w:r w:rsidR="00E60407">
        <w:rPr>
          <w:sz w:val="22"/>
          <w:szCs w:val="22"/>
          <w:lang w:val="en-US"/>
        </w:rPr>
        <w:t xml:space="preserve"> Since the unit of nominal TDW is a slot, </w:t>
      </w:r>
      <w:r w:rsidR="008B4644">
        <w:rPr>
          <w:sz w:val="22"/>
          <w:szCs w:val="22"/>
          <w:lang w:val="en-US"/>
        </w:rPr>
        <w:t xml:space="preserve">the TPC </w:t>
      </w:r>
      <w:r w:rsidR="00931678">
        <w:rPr>
          <w:sz w:val="22"/>
          <w:szCs w:val="22"/>
          <w:lang w:val="en-US"/>
        </w:rPr>
        <w:t xml:space="preserve">command </w:t>
      </w:r>
      <w:r w:rsidR="008B4644">
        <w:rPr>
          <w:sz w:val="22"/>
          <w:szCs w:val="22"/>
          <w:lang w:val="en-US"/>
        </w:rPr>
        <w:t>reference period</w:t>
      </w:r>
      <w:r w:rsidR="00931678">
        <w:rPr>
          <w:sz w:val="22"/>
          <w:szCs w:val="22"/>
          <w:lang w:val="en-US"/>
        </w:rPr>
        <w:t xml:space="preserve"> </w:t>
      </w:r>
      <w:r w:rsidR="00305F0F">
        <w:rPr>
          <w:sz w:val="22"/>
          <w:szCs w:val="22"/>
          <w:lang w:val="en-US"/>
        </w:rPr>
        <w:t xml:space="preserve">for each </w:t>
      </w:r>
      <w:r w:rsidR="004076FB">
        <w:rPr>
          <w:sz w:val="22"/>
          <w:szCs w:val="22"/>
          <w:lang w:val="en-US"/>
        </w:rPr>
        <w:t>case</w:t>
      </w:r>
      <w:r w:rsidR="00305F0F">
        <w:rPr>
          <w:sz w:val="22"/>
          <w:szCs w:val="22"/>
          <w:lang w:val="en-US"/>
        </w:rPr>
        <w:t xml:space="preserve"> could be different.</w:t>
      </w:r>
      <w:r w:rsidR="00931678">
        <w:rPr>
          <w:sz w:val="22"/>
          <w:szCs w:val="22"/>
        </w:rPr>
        <w:t xml:space="preserve"> </w:t>
      </w:r>
      <w:r w:rsidR="00305F0F">
        <w:rPr>
          <w:sz w:val="22"/>
          <w:szCs w:val="22"/>
        </w:rPr>
        <w:t>Fig.1 shows the difference on</w:t>
      </w:r>
      <w:r w:rsidR="00C0691B">
        <w:rPr>
          <w:sz w:val="22"/>
          <w:szCs w:val="22"/>
        </w:rPr>
        <w:t xml:space="preserve"> </w:t>
      </w:r>
      <w:r w:rsidR="002C451F">
        <w:rPr>
          <w:sz w:val="22"/>
          <w:szCs w:val="22"/>
        </w:rPr>
        <w:t xml:space="preserve">the </w:t>
      </w:r>
      <w:r w:rsidR="00305F0F">
        <w:rPr>
          <w:sz w:val="22"/>
          <w:szCs w:val="22"/>
        </w:rPr>
        <w:t xml:space="preserve">latency for </w:t>
      </w:r>
      <w:r w:rsidR="00C0691B">
        <w:rPr>
          <w:sz w:val="22"/>
          <w:szCs w:val="22"/>
        </w:rPr>
        <w:t xml:space="preserve">TPC command values in each </w:t>
      </w:r>
      <w:r w:rsidR="004076FB">
        <w:rPr>
          <w:sz w:val="22"/>
          <w:szCs w:val="22"/>
        </w:rPr>
        <w:t>case</w:t>
      </w:r>
      <w:r w:rsidR="00C0691B">
        <w:rPr>
          <w:sz w:val="22"/>
          <w:szCs w:val="22"/>
        </w:rPr>
        <w:t xml:space="preserve">. </w:t>
      </w:r>
      <w:r w:rsidR="00305F0F">
        <w:rPr>
          <w:sz w:val="22"/>
          <w:szCs w:val="22"/>
        </w:rPr>
        <w:t xml:space="preserve">In the case (a) of Fig.1,  </w:t>
      </w:r>
      <m:oMath>
        <m:sSub>
          <m:sSubPr>
            <m:ctrlPr>
              <w:rPr>
                <w:rFonts w:ascii="Cambria Math" w:eastAsiaTheme="minorEastAsia" w:hAnsi="Cambria Math"/>
                <w:i/>
                <w:iCs/>
                <w:sz w:val="22"/>
                <w:szCs w:val="22"/>
              </w:rPr>
            </m:ctrlPr>
          </m:sSubPr>
          <m:e>
            <m:r>
              <m:rPr>
                <m:nor/>
              </m:rPr>
              <w:rPr>
                <w:rFonts w:eastAsiaTheme="minorEastAsia"/>
                <w:sz w:val="22"/>
                <w:szCs w:val="22"/>
                <w:lang w:val="el-GR"/>
              </w:rPr>
              <m:t>δ</m:t>
            </m:r>
          </m:e>
          <m:sub>
            <m:r>
              <w:rPr>
                <w:rFonts w:ascii="Cambria Math" w:eastAsiaTheme="minorEastAsia" w:hAnsi="Cambria Math"/>
                <w:sz w:val="22"/>
                <w:szCs w:val="22"/>
              </w:rPr>
              <m:t>1</m:t>
            </m:r>
          </m:sub>
        </m:sSub>
      </m:oMath>
      <w:r w:rsidR="00305F0F">
        <w:rPr>
          <w:iCs/>
          <w:sz w:val="22"/>
          <w:szCs w:val="22"/>
        </w:rPr>
        <w:t xml:space="preserve"> does not take effect in CG PUSCH#1 and #2, while it </w:t>
      </w:r>
      <w:r w:rsidR="00C0691B">
        <w:rPr>
          <w:iCs/>
          <w:sz w:val="22"/>
          <w:szCs w:val="22"/>
        </w:rPr>
        <w:t>is referred for CG PUSCH#1 and #2</w:t>
      </w:r>
      <w:r w:rsidR="00305F0F">
        <w:rPr>
          <w:iCs/>
          <w:sz w:val="22"/>
          <w:szCs w:val="22"/>
        </w:rPr>
        <w:t xml:space="preserve"> in the case (b). This is because the TPC command reference period </w:t>
      </w:r>
      <w:r w:rsidR="00305F0F">
        <w:rPr>
          <w:sz w:val="22"/>
          <w:szCs w:val="22"/>
          <w:lang w:val="en-US"/>
        </w:rPr>
        <w:t xml:space="preserve">ends faster when the first symbol of nominal TDW is a reference to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r>
          <w:rPr>
            <w:rFonts w:ascii="Cambria Math" w:hAnsi="Cambria Math"/>
            <w:sz w:val="21"/>
            <w:szCs w:val="21"/>
          </w:rPr>
          <m:t xml:space="preserve"> </m:t>
        </m:r>
        <m:r>
          <m:rPr>
            <m:sty m:val="p"/>
          </m:rPr>
          <w:rPr>
            <w:rFonts w:ascii="Cambria Math" w:hAnsi="Cambria Math"/>
            <w:sz w:val="21"/>
            <w:szCs w:val="21"/>
          </w:rPr>
          <m:t>as case (a)</m:t>
        </m:r>
      </m:oMath>
      <w:r w:rsidR="00305F0F">
        <w:rPr>
          <w:sz w:val="22"/>
          <w:szCs w:val="22"/>
        </w:rPr>
        <w:t>.</w:t>
      </w:r>
      <w:r w:rsidR="00C0691B">
        <w:rPr>
          <w:sz w:val="22"/>
          <w:szCs w:val="22"/>
        </w:rPr>
        <w:t xml:space="preserve"> </w:t>
      </w:r>
      <w:r w:rsidR="00AA5B66">
        <w:rPr>
          <w:sz w:val="22"/>
          <w:szCs w:val="22"/>
        </w:rPr>
        <w:t>Accordingly, we prefer</w:t>
      </w:r>
      <w:r w:rsidR="003D5974">
        <w:rPr>
          <w:sz w:val="22"/>
          <w:szCs w:val="22"/>
        </w:rPr>
        <w:t xml:space="preserve"> to support</w:t>
      </w:r>
      <w:r w:rsidR="00AA5B66">
        <w:rPr>
          <w:sz w:val="22"/>
          <w:szCs w:val="22"/>
        </w:rPr>
        <w:t xml:space="preserve"> Option 2 or Option 3</w:t>
      </w:r>
      <w:r w:rsidR="003D5974">
        <w:rPr>
          <w:sz w:val="22"/>
          <w:szCs w:val="22"/>
        </w:rPr>
        <w:t>.</w:t>
      </w:r>
    </w:p>
    <w:p w14:paraId="33FD167A" w14:textId="77777777" w:rsidR="004D2B38" w:rsidRDefault="004D2B38" w:rsidP="00AB514D">
      <w:pPr>
        <w:rPr>
          <w:sz w:val="22"/>
          <w:szCs w:val="22"/>
        </w:rPr>
      </w:pPr>
    </w:p>
    <w:p w14:paraId="762C4480" w14:textId="500015F7" w:rsidR="004D2B38" w:rsidRPr="004D2B38" w:rsidRDefault="004D2B38" w:rsidP="00AB514D">
      <w:pPr>
        <w:rPr>
          <w:b/>
          <w:bCs/>
          <w:sz w:val="21"/>
          <w:szCs w:val="21"/>
        </w:rPr>
      </w:pPr>
      <w:r w:rsidRPr="004D2B38">
        <w:rPr>
          <w:b/>
          <w:bCs/>
          <w:sz w:val="22"/>
          <w:szCs w:val="22"/>
          <w:u w:val="single"/>
        </w:rPr>
        <w:t xml:space="preserve">Observation </w:t>
      </w:r>
      <w:r w:rsidR="00815DA6">
        <w:rPr>
          <w:b/>
          <w:bCs/>
          <w:sz w:val="22"/>
          <w:szCs w:val="22"/>
          <w:u w:val="single"/>
        </w:rPr>
        <w:t>2</w:t>
      </w:r>
      <w:r w:rsidRPr="004D2B38">
        <w:rPr>
          <w:b/>
          <w:bCs/>
          <w:sz w:val="22"/>
          <w:szCs w:val="22"/>
          <w:u w:val="single"/>
        </w:rPr>
        <w:t>:</w:t>
      </w:r>
      <w:r w:rsidRPr="004D2B38">
        <w:rPr>
          <w:b/>
          <w:bCs/>
          <w:sz w:val="22"/>
          <w:szCs w:val="22"/>
        </w:rPr>
        <w:t xml:space="preserve"> </w:t>
      </w:r>
      <w:r w:rsidRPr="004D2B38">
        <w:rPr>
          <w:b/>
          <w:bCs/>
          <w:sz w:val="22"/>
          <w:szCs w:val="22"/>
          <w:lang w:val="en-US"/>
        </w:rPr>
        <w:t>TPC command reference period</w:t>
      </w:r>
      <w:r w:rsidRPr="004D2B38">
        <w:rPr>
          <w:b/>
          <w:bCs/>
          <w:sz w:val="22"/>
          <w:szCs w:val="22"/>
        </w:rPr>
        <w:t xml:space="preserve"> of Option 1</w:t>
      </w:r>
      <w:r w:rsidR="003D5974">
        <w:rPr>
          <w:b/>
          <w:bCs/>
          <w:sz w:val="22"/>
          <w:szCs w:val="22"/>
        </w:rPr>
        <w:t xml:space="preserve"> could</w:t>
      </w:r>
      <w:r w:rsidRPr="004D2B38">
        <w:rPr>
          <w:b/>
          <w:bCs/>
          <w:sz w:val="22"/>
          <w:szCs w:val="22"/>
        </w:rPr>
        <w:t xml:space="preserve"> </w:t>
      </w:r>
      <w:r>
        <w:rPr>
          <w:b/>
          <w:bCs/>
          <w:sz w:val="22"/>
          <w:szCs w:val="22"/>
        </w:rPr>
        <w:t xml:space="preserve">end faster than </w:t>
      </w:r>
      <w:r w:rsidRPr="004D2B38">
        <w:rPr>
          <w:b/>
          <w:bCs/>
          <w:sz w:val="22"/>
          <w:szCs w:val="22"/>
        </w:rPr>
        <w:t xml:space="preserve">other options. </w:t>
      </w:r>
      <w:r w:rsidR="001E61EB" w:rsidRPr="004D2B38">
        <w:rPr>
          <w:b/>
          <w:bCs/>
          <w:sz w:val="21"/>
          <w:szCs w:val="21"/>
        </w:rPr>
        <w:t xml:space="preserve"> </w:t>
      </w:r>
    </w:p>
    <w:p w14:paraId="6D91D676" w14:textId="154E789F" w:rsidR="001A7B0F" w:rsidRDefault="001A7B0F" w:rsidP="0016069E">
      <w:pPr>
        <w:rPr>
          <w:noProof/>
          <w:sz w:val="22"/>
          <w:szCs w:val="22"/>
          <w:lang w:val="en-US"/>
        </w:rPr>
      </w:pPr>
    </w:p>
    <w:p w14:paraId="7E761D49" w14:textId="4F0607DE" w:rsidR="00E60407" w:rsidRPr="00A46C2F" w:rsidRDefault="008B4644" w:rsidP="0016069E">
      <w:pPr>
        <w:rPr>
          <w:rFonts w:eastAsia="游明朝"/>
          <w:b/>
          <w:sz w:val="22"/>
          <w:szCs w:val="22"/>
        </w:rPr>
      </w:pPr>
      <w:r>
        <w:rPr>
          <w:rFonts w:eastAsia="游明朝"/>
          <w:b/>
          <w:noProof/>
          <w:sz w:val="22"/>
          <w:szCs w:val="22"/>
          <w:lang w:val="en-US"/>
        </w:rPr>
        <w:drawing>
          <wp:inline distT="0" distB="0" distL="0" distR="0" wp14:anchorId="00183B1B" wp14:editId="7BDE516F">
            <wp:extent cx="6323830" cy="1155585"/>
            <wp:effectExtent l="0" t="0" r="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281" cy="1169555"/>
                    </a:xfrm>
                    <a:prstGeom prst="rect">
                      <a:avLst/>
                    </a:prstGeom>
                    <a:noFill/>
                    <a:ln>
                      <a:noFill/>
                    </a:ln>
                  </pic:spPr>
                </pic:pic>
              </a:graphicData>
            </a:graphic>
          </wp:inline>
        </w:drawing>
      </w:r>
    </w:p>
    <w:p w14:paraId="75155210" w14:textId="77777777" w:rsidR="00027018" w:rsidRDefault="00027018" w:rsidP="006F0998">
      <w:pPr>
        <w:jc w:val="center"/>
        <w:rPr>
          <w:sz w:val="22"/>
          <w:szCs w:val="22"/>
          <w:lang w:val="en-US"/>
        </w:rPr>
        <w:sectPr w:rsidR="00027018">
          <w:footerReference w:type="default" r:id="rId9"/>
          <w:type w:val="continuous"/>
          <w:pgSz w:w="12240" w:h="15840" w:code="1"/>
          <w:pgMar w:top="851" w:right="1134" w:bottom="567" w:left="1134" w:header="720" w:footer="720" w:gutter="0"/>
          <w:cols w:space="720"/>
        </w:sectPr>
      </w:pPr>
    </w:p>
    <w:p w14:paraId="1A6F8DEC" w14:textId="074A2D31" w:rsidR="006F0998" w:rsidRDefault="00027018" w:rsidP="006F0998">
      <w:pPr>
        <w:jc w:val="center"/>
        <w:rPr>
          <w:sz w:val="22"/>
          <w:szCs w:val="22"/>
          <w:lang w:val="en-US"/>
        </w:rPr>
      </w:pPr>
      <w:r>
        <w:rPr>
          <w:rFonts w:hint="eastAsia"/>
          <w:sz w:val="22"/>
          <w:szCs w:val="22"/>
          <w:lang w:val="en-US"/>
        </w:rPr>
        <w:t>(</w:t>
      </w:r>
      <w:r>
        <w:rPr>
          <w:sz w:val="22"/>
          <w:szCs w:val="22"/>
          <w:lang w:val="en-US"/>
        </w:rPr>
        <w:t xml:space="preserve">a) </w:t>
      </w:r>
      <w:r w:rsidR="007021ED">
        <w:rPr>
          <w:iCs/>
          <w:sz w:val="22"/>
          <w:szCs w:val="22"/>
        </w:rPr>
        <w:t xml:space="preserve">TPC command reference period at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oMath>
      <w:r w:rsidR="00305F0F">
        <w:rPr>
          <w:rFonts w:hint="eastAsia"/>
          <w:sz w:val="21"/>
          <w:szCs w:val="21"/>
        </w:rPr>
        <w:t xml:space="preserve"> </w:t>
      </w:r>
      <w:r w:rsidR="00305F0F">
        <w:rPr>
          <w:sz w:val="21"/>
          <w:szCs w:val="21"/>
        </w:rPr>
        <w:t xml:space="preserve">from the </w:t>
      </w:r>
      <w:r w:rsidRPr="00931678">
        <w:rPr>
          <w:sz w:val="22"/>
          <w:szCs w:val="22"/>
        </w:rPr>
        <w:t>first symbol of nominal TDW</w:t>
      </w:r>
    </w:p>
    <w:p w14:paraId="017FAFEC" w14:textId="70EF6715" w:rsidR="00027018" w:rsidRDefault="00027018" w:rsidP="006F0998">
      <w:pPr>
        <w:jc w:val="center"/>
        <w:rPr>
          <w:sz w:val="22"/>
          <w:szCs w:val="22"/>
          <w:lang w:val="en-US"/>
        </w:rPr>
      </w:pPr>
      <w:r>
        <w:rPr>
          <w:sz w:val="22"/>
          <w:szCs w:val="22"/>
          <w:lang w:val="en-US"/>
        </w:rPr>
        <w:t xml:space="preserve">(b) </w:t>
      </w:r>
      <w:r w:rsidR="007021ED">
        <w:rPr>
          <w:iCs/>
          <w:sz w:val="22"/>
          <w:szCs w:val="22"/>
        </w:rPr>
        <w:t xml:space="preserve">TPC command reference period ends at </w:t>
      </w:r>
      <m:oMath>
        <m:sSub>
          <m:sSubPr>
            <m:ctrlPr>
              <w:rPr>
                <w:rFonts w:ascii="Cambria Math" w:hAnsi="Cambria Math"/>
                <w:sz w:val="21"/>
                <w:szCs w:val="21"/>
              </w:rPr>
            </m:ctrlPr>
          </m:sSubPr>
          <m:e>
            <m:r>
              <w:rPr>
                <w:rFonts w:ascii="Cambria Math" w:hAnsi="Cambria Math"/>
                <w:sz w:val="21"/>
                <w:szCs w:val="21"/>
              </w:rPr>
              <m:t>K</m:t>
            </m:r>
          </m:e>
          <m:sub>
            <m:r>
              <m:rPr>
                <m:sty m:val="p"/>
              </m:rPr>
              <w:rPr>
                <w:rFonts w:ascii="Cambria Math" w:hAnsi="Cambria Math"/>
                <w:sz w:val="21"/>
                <w:szCs w:val="21"/>
              </w:rPr>
              <m:t>PUSCH</m:t>
            </m:r>
          </m:sub>
        </m:sSub>
        <m:d>
          <m:dPr>
            <m:ctrlPr>
              <w:rPr>
                <w:rFonts w:ascii="Cambria Math" w:hAnsi="Cambria Math"/>
                <w:i/>
                <w:sz w:val="21"/>
                <w:szCs w:val="21"/>
              </w:rPr>
            </m:ctrlPr>
          </m:dPr>
          <m:e>
            <m:r>
              <w:rPr>
                <w:rFonts w:ascii="Cambria Math" w:hAnsi="Cambria Math"/>
                <w:sz w:val="21"/>
                <w:szCs w:val="21"/>
              </w:rPr>
              <m:t>i</m:t>
            </m:r>
          </m:e>
        </m:d>
        <m:r>
          <w:rPr>
            <w:rFonts w:ascii="Cambria Math" w:hAnsi="Cambria Math"/>
            <w:sz w:val="21"/>
            <w:szCs w:val="21"/>
          </w:rPr>
          <m:t xml:space="preserve"> </m:t>
        </m:r>
        <m:r>
          <m:rPr>
            <m:sty m:val="p"/>
          </m:rPr>
          <w:rPr>
            <w:rFonts w:ascii="Cambria Math" w:hAnsi="Cambria Math"/>
            <w:sz w:val="21"/>
            <w:szCs w:val="21"/>
          </w:rPr>
          <m:t xml:space="preserve">from the </m:t>
        </m:r>
      </m:oMath>
      <w:r>
        <w:rPr>
          <w:sz w:val="22"/>
          <w:szCs w:val="22"/>
        </w:rPr>
        <w:t>first symbol of the first transmission occasion</w:t>
      </w:r>
    </w:p>
    <w:p w14:paraId="11A3A01E" w14:textId="77777777" w:rsidR="00027018" w:rsidRDefault="00027018" w:rsidP="001A7B0F">
      <w:pPr>
        <w:pStyle w:val="af3"/>
        <w:jc w:val="center"/>
        <w:rPr>
          <w:sz w:val="22"/>
          <w:szCs w:val="22"/>
          <w:lang w:val="en-US"/>
        </w:rPr>
        <w:sectPr w:rsidR="00027018" w:rsidSect="00027018">
          <w:type w:val="continuous"/>
          <w:pgSz w:w="12240" w:h="15840" w:code="1"/>
          <w:pgMar w:top="851" w:right="1134" w:bottom="567" w:left="1134" w:header="720" w:footer="720" w:gutter="0"/>
          <w:cols w:num="2" w:space="720"/>
        </w:sectPr>
      </w:pPr>
    </w:p>
    <w:p w14:paraId="2AD5F8A3" w14:textId="459BBB70" w:rsidR="006A244A" w:rsidRPr="001A7B0F" w:rsidRDefault="001A7B0F" w:rsidP="001A7B0F">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1</w:t>
      </w:r>
      <w:r w:rsidRPr="001D23A7">
        <w:rPr>
          <w:sz w:val="22"/>
          <w:szCs w:val="22"/>
          <w:lang w:val="en-US"/>
        </w:rPr>
        <w:t>.</w:t>
      </w:r>
      <w:r w:rsidR="00931678">
        <w:rPr>
          <w:b w:val="0"/>
          <w:sz w:val="22"/>
          <w:szCs w:val="22"/>
        </w:rPr>
        <w:t xml:space="preserve"> TPC command reference period for two cases where </w:t>
      </w:r>
      <w:r w:rsidR="00931678" w:rsidRPr="00931678">
        <w:rPr>
          <w:b w:val="0"/>
          <w:sz w:val="22"/>
          <w:szCs w:val="22"/>
        </w:rPr>
        <w:t xml:space="preserve">the first symbol of nominal TDW </w:t>
      </w:r>
      <w:r w:rsidR="000A5D73">
        <w:rPr>
          <w:b w:val="0"/>
          <w:sz w:val="22"/>
          <w:szCs w:val="22"/>
        </w:rPr>
        <w:t xml:space="preserve">(a) </w:t>
      </w:r>
      <w:r w:rsidR="00931678">
        <w:rPr>
          <w:b w:val="0"/>
          <w:sz w:val="22"/>
          <w:szCs w:val="22"/>
        </w:rPr>
        <w:t>and the first symbol of the first transmission occasion in the nominal TDW</w:t>
      </w:r>
      <w:r w:rsidR="000A5D73">
        <w:rPr>
          <w:b w:val="0"/>
          <w:sz w:val="22"/>
          <w:szCs w:val="22"/>
        </w:rPr>
        <w:t xml:space="preserve"> (b)</w:t>
      </w:r>
      <w:r w:rsidR="00931678">
        <w:rPr>
          <w:b w:val="0"/>
          <w:sz w:val="22"/>
          <w:szCs w:val="22"/>
        </w:rPr>
        <w:t xml:space="preserve"> are</w:t>
      </w:r>
      <w:r w:rsidR="00931678" w:rsidRPr="00931678">
        <w:rPr>
          <w:b w:val="0"/>
          <w:sz w:val="22"/>
          <w:szCs w:val="22"/>
        </w:rPr>
        <w:t xml:space="preserve"> a reference to</w:t>
      </w:r>
      <w:r w:rsidR="00931678" w:rsidRPr="000A5D73">
        <w:rPr>
          <w:b w:val="0"/>
          <w:bCs/>
          <w:sz w:val="22"/>
          <w:szCs w:val="22"/>
        </w:rPr>
        <w:t xml:space="preserve"> </w:t>
      </w:r>
      <m:oMath>
        <m:sSub>
          <m:sSubPr>
            <m:ctrlPr>
              <w:rPr>
                <w:rFonts w:ascii="Cambria Math" w:hAnsi="Cambria Math"/>
                <w:b w:val="0"/>
                <w:bCs/>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d>
          <m:dPr>
            <m:ctrlPr>
              <w:rPr>
                <w:rFonts w:ascii="Cambria Math" w:hAnsi="Cambria Math"/>
                <w:b w:val="0"/>
                <w:bCs/>
                <w:i/>
                <w:sz w:val="21"/>
                <w:szCs w:val="21"/>
              </w:rPr>
            </m:ctrlPr>
          </m:dPr>
          <m:e>
            <m:r>
              <m:rPr>
                <m:sty m:val="bi"/>
              </m:rPr>
              <w:rPr>
                <w:rFonts w:ascii="Cambria Math" w:hAnsi="Cambria Math"/>
                <w:sz w:val="21"/>
                <w:szCs w:val="21"/>
              </w:rPr>
              <m:t>i</m:t>
            </m:r>
          </m:e>
        </m:d>
      </m:oMath>
      <w:r w:rsidR="00931678">
        <w:rPr>
          <w:b w:val="0"/>
          <w:sz w:val="22"/>
          <w:szCs w:val="22"/>
        </w:rPr>
        <w:t>, respectively</w:t>
      </w:r>
      <w:r w:rsidR="006F0998">
        <w:rPr>
          <w:b w:val="0"/>
          <w:sz w:val="22"/>
          <w:szCs w:val="22"/>
        </w:rPr>
        <w:t xml:space="preserve">. </w:t>
      </w:r>
    </w:p>
    <w:p w14:paraId="24D6BC33" w14:textId="77777777" w:rsidR="00AA5B66" w:rsidRDefault="00AA5B66" w:rsidP="0016069E">
      <w:pPr>
        <w:rPr>
          <w:sz w:val="22"/>
          <w:szCs w:val="22"/>
        </w:rPr>
      </w:pPr>
    </w:p>
    <w:p w14:paraId="6A2999EB" w14:textId="5D0A61BE" w:rsidR="00AA5B66" w:rsidRDefault="00AA5B66" w:rsidP="0016069E">
      <w:pPr>
        <w:rPr>
          <w:sz w:val="21"/>
          <w:szCs w:val="21"/>
        </w:rPr>
      </w:pPr>
      <w:r>
        <w:rPr>
          <w:sz w:val="22"/>
          <w:szCs w:val="22"/>
        </w:rPr>
        <w:lastRenderedPageBreak/>
        <w:t xml:space="preserve">Given </w:t>
      </w:r>
      <w:r w:rsidR="003D5974">
        <w:rPr>
          <w:sz w:val="22"/>
          <w:szCs w:val="22"/>
        </w:rPr>
        <w:t xml:space="preserve">the fact </w:t>
      </w:r>
      <w:r>
        <w:rPr>
          <w:sz w:val="22"/>
          <w:szCs w:val="22"/>
        </w:rPr>
        <w:t xml:space="preserve">that </w:t>
      </w:r>
      <w:r w:rsidR="004D2B38">
        <w:rPr>
          <w:sz w:val="22"/>
          <w:szCs w:val="22"/>
        </w:rPr>
        <w:t xml:space="preserve">Option 2 and Option 3 result in the same </w:t>
      </w:r>
      <w:r>
        <w:rPr>
          <w:sz w:val="22"/>
          <w:szCs w:val="22"/>
        </w:rPr>
        <w:t>TPC</w:t>
      </w:r>
      <w:r w:rsidR="003D5974">
        <w:rPr>
          <w:sz w:val="22"/>
          <w:szCs w:val="22"/>
        </w:rPr>
        <w:t xml:space="preserve"> command procedure</w:t>
      </w:r>
      <w:r>
        <w:rPr>
          <w:sz w:val="22"/>
          <w:szCs w:val="22"/>
        </w:rPr>
        <w:t xml:space="preserve">, we prefer the simple solution Option 3 because it does not require </w:t>
      </w:r>
      <w:r w:rsidR="003D5974">
        <w:rPr>
          <w:sz w:val="22"/>
          <w:szCs w:val="22"/>
        </w:rPr>
        <w:t xml:space="preserve">to change </w:t>
      </w:r>
      <w:r>
        <w:rPr>
          <w:sz w:val="22"/>
          <w:szCs w:val="22"/>
        </w:rPr>
        <w:t xml:space="preserve">the definition of </w:t>
      </w:r>
      <w:r>
        <w:rPr>
          <w:sz w:val="21"/>
          <w:szCs w:val="21"/>
        </w:rPr>
        <w:t xml:space="preserve">TPC command value set </w:t>
      </w:r>
      <m:oMath>
        <m:sSub>
          <m:sSubPr>
            <m:ctrlPr>
              <w:rPr>
                <w:rFonts w:ascii="Cambria Math" w:hAnsi="Cambria Math"/>
                <w:sz w:val="21"/>
                <w:szCs w:val="21"/>
              </w:rPr>
            </m:ctrlPr>
          </m:sSubPr>
          <m:e>
            <m:r>
              <w:rPr>
                <w:rFonts w:ascii="Cambria Math" w:hAnsi="Cambria Math"/>
                <w:sz w:val="21"/>
                <w:szCs w:val="21"/>
              </w:rPr>
              <m:t>D</m:t>
            </m:r>
          </m:e>
          <m:sub>
            <m:r>
              <w:rPr>
                <w:rFonts w:ascii="Cambria Math" w:hAnsi="Cambria Math"/>
                <w:sz w:val="21"/>
                <w:szCs w:val="21"/>
              </w:rPr>
              <m:t>i</m:t>
            </m:r>
          </m:sub>
        </m:sSub>
      </m:oMath>
      <w:r>
        <w:rPr>
          <w:rFonts w:hint="eastAsia"/>
          <w:sz w:val="21"/>
          <w:szCs w:val="21"/>
        </w:rPr>
        <w:t>.</w:t>
      </w:r>
      <w:r>
        <w:rPr>
          <w:sz w:val="21"/>
          <w:szCs w:val="21"/>
        </w:rPr>
        <w:t xml:space="preserve"> </w:t>
      </w:r>
    </w:p>
    <w:p w14:paraId="0A64D2CC" w14:textId="46CBA1D7" w:rsidR="00AA5B66" w:rsidRDefault="00AA5B66" w:rsidP="0016069E">
      <w:pPr>
        <w:rPr>
          <w:sz w:val="21"/>
          <w:szCs w:val="21"/>
        </w:rPr>
      </w:pPr>
    </w:p>
    <w:p w14:paraId="36058963" w14:textId="18C58B44" w:rsidR="00AA5B66" w:rsidRPr="002A511E" w:rsidRDefault="00AA5B66" w:rsidP="00AA5B66">
      <w:pPr>
        <w:rPr>
          <w:rFonts w:eastAsia="游明朝"/>
          <w:b/>
          <w:bCs/>
          <w:sz w:val="22"/>
          <w:szCs w:val="22"/>
        </w:rPr>
      </w:pPr>
      <w:r>
        <w:rPr>
          <w:rFonts w:eastAsia="游明朝"/>
          <w:b/>
          <w:sz w:val="22"/>
          <w:szCs w:val="22"/>
          <w:u w:val="single"/>
          <w:lang w:val="en-US"/>
        </w:rPr>
        <w:t xml:space="preserve">Proposal </w:t>
      </w:r>
      <w:r w:rsidR="00815DA6">
        <w:rPr>
          <w:rFonts w:eastAsia="游明朝"/>
          <w:b/>
          <w:sz w:val="22"/>
          <w:szCs w:val="22"/>
          <w:u w:val="single"/>
          <w:lang w:val="en-US"/>
        </w:rPr>
        <w:t>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Support Option 3 as a TPC command procedure </w:t>
      </w:r>
      <w:r w:rsidR="003D5974">
        <w:rPr>
          <w:rFonts w:eastAsia="游明朝"/>
          <w:b/>
          <w:sz w:val="22"/>
          <w:szCs w:val="22"/>
        </w:rPr>
        <w:t>when</w:t>
      </w:r>
      <w:r>
        <w:rPr>
          <w:rFonts w:eastAsia="游明朝"/>
          <w:b/>
          <w:sz w:val="22"/>
          <w:szCs w:val="22"/>
        </w:rPr>
        <w:t xml:space="preserve"> DMRS bundling</w:t>
      </w:r>
      <w:r w:rsidR="003D5974">
        <w:rPr>
          <w:rFonts w:eastAsia="游明朝"/>
          <w:b/>
          <w:sz w:val="22"/>
          <w:szCs w:val="22"/>
        </w:rPr>
        <w:t xml:space="preserve"> is enabled</w:t>
      </w:r>
      <w:r>
        <w:rPr>
          <w:rFonts w:eastAsia="游明朝"/>
          <w:b/>
          <w:sz w:val="22"/>
          <w:szCs w:val="22"/>
        </w:rPr>
        <w:t xml:space="preserve">. </w:t>
      </w:r>
    </w:p>
    <w:p w14:paraId="0D0C9039" w14:textId="77777777" w:rsidR="00AA5B66" w:rsidRPr="00AA5B66" w:rsidRDefault="00AA5B66" w:rsidP="0016069E">
      <w:pPr>
        <w:rPr>
          <w:sz w:val="21"/>
          <w:szCs w:val="21"/>
        </w:rPr>
      </w:pPr>
    </w:p>
    <w:p w14:paraId="2E4BE825" w14:textId="672759EC" w:rsidR="00AA5B66" w:rsidRDefault="00AA5B66" w:rsidP="0016069E">
      <w:pPr>
        <w:rPr>
          <w:sz w:val="21"/>
          <w:szCs w:val="21"/>
        </w:rPr>
      </w:pPr>
      <w:r>
        <w:rPr>
          <w:rFonts w:hint="eastAsia"/>
          <w:sz w:val="21"/>
          <w:szCs w:val="21"/>
        </w:rPr>
        <w:t>D</w:t>
      </w:r>
      <w:r>
        <w:rPr>
          <w:sz w:val="21"/>
          <w:szCs w:val="21"/>
        </w:rPr>
        <w:t xml:space="preserve">uring the </w:t>
      </w:r>
      <w:r w:rsidRPr="00E0698C">
        <w:rPr>
          <w:rFonts w:eastAsiaTheme="minorEastAsia"/>
          <w:sz w:val="22"/>
          <w:szCs w:val="22"/>
          <w:lang w:val="en-US"/>
        </w:rPr>
        <w:t>RAN</w:t>
      </w:r>
      <w:r>
        <w:rPr>
          <w:rFonts w:eastAsiaTheme="minorEastAsia"/>
          <w:sz w:val="22"/>
          <w:szCs w:val="22"/>
          <w:lang w:val="en-US"/>
        </w:rPr>
        <w:t>1</w:t>
      </w:r>
      <w:r w:rsidRPr="00E0698C">
        <w:rPr>
          <w:rFonts w:eastAsiaTheme="minorEastAsia"/>
          <w:sz w:val="22"/>
          <w:szCs w:val="22"/>
          <w:lang w:val="en-US"/>
        </w:rPr>
        <w:t>#</w:t>
      </w:r>
      <w:r>
        <w:rPr>
          <w:rFonts w:eastAsiaTheme="minorEastAsia"/>
          <w:sz w:val="22"/>
          <w:szCs w:val="22"/>
          <w:lang w:val="en-US"/>
        </w:rPr>
        <w:t>107</w:t>
      </w:r>
      <w:r w:rsidRPr="00E0698C">
        <w:rPr>
          <w:rFonts w:eastAsiaTheme="minorEastAsia"/>
          <w:sz w:val="22"/>
          <w:szCs w:val="22"/>
          <w:lang w:val="en-US"/>
        </w:rPr>
        <w:t>-e meeting</w:t>
      </w:r>
      <w:r>
        <w:rPr>
          <w:rFonts w:eastAsiaTheme="minorEastAsia"/>
          <w:sz w:val="22"/>
          <w:szCs w:val="22"/>
          <w:lang w:val="en-US"/>
        </w:rPr>
        <w:t>, several companies point</w:t>
      </w:r>
      <w:r w:rsidR="00312659">
        <w:rPr>
          <w:rFonts w:eastAsiaTheme="minorEastAsia"/>
          <w:sz w:val="22"/>
          <w:szCs w:val="22"/>
          <w:lang w:val="en-US"/>
        </w:rPr>
        <w:t>ed</w:t>
      </w:r>
      <w:r>
        <w:rPr>
          <w:rFonts w:eastAsiaTheme="minorEastAsia"/>
          <w:sz w:val="22"/>
          <w:szCs w:val="22"/>
          <w:lang w:val="en-US"/>
        </w:rPr>
        <w:t xml:space="preserve"> out the problem of TPC </w:t>
      </w:r>
      <w:r w:rsidR="00312659">
        <w:rPr>
          <w:rFonts w:eastAsiaTheme="minorEastAsia"/>
          <w:sz w:val="22"/>
          <w:szCs w:val="22"/>
          <w:lang w:val="en-US"/>
        </w:rPr>
        <w:t xml:space="preserve">command </w:t>
      </w:r>
      <w:r>
        <w:rPr>
          <w:rFonts w:eastAsiaTheme="minorEastAsia"/>
          <w:sz w:val="22"/>
          <w:szCs w:val="22"/>
          <w:lang w:val="en-US"/>
        </w:rPr>
        <w:t xml:space="preserve">per </w:t>
      </w:r>
      <w:r w:rsidR="00312659">
        <w:rPr>
          <w:rFonts w:eastAsiaTheme="minorEastAsia"/>
          <w:sz w:val="22"/>
          <w:szCs w:val="22"/>
          <w:lang w:val="en-US"/>
        </w:rPr>
        <w:t xml:space="preserve">a </w:t>
      </w:r>
      <w:r>
        <w:rPr>
          <w:rFonts w:eastAsiaTheme="minorEastAsia"/>
          <w:sz w:val="22"/>
          <w:szCs w:val="22"/>
          <w:lang w:val="en-US"/>
        </w:rPr>
        <w:t xml:space="preserve">nominal TDW under the </w:t>
      </w:r>
      <w:r w:rsidR="004602D7">
        <w:rPr>
          <w:rFonts w:eastAsiaTheme="minorEastAsia"/>
          <w:sz w:val="22"/>
          <w:szCs w:val="22"/>
          <w:lang w:val="en-US"/>
        </w:rPr>
        <w:t>DG PUSCH and CG PUSCH interlaced scenarios. Fig.2 illustrates the issue that TPC command</w:t>
      </w:r>
      <w:r w:rsidR="004C710B">
        <w:rPr>
          <w:rFonts w:eastAsiaTheme="minorEastAsia"/>
          <w:sz w:val="22"/>
          <w:szCs w:val="22"/>
          <w:lang w:val="en-US"/>
        </w:rPr>
        <w:t xml:space="preserve"> </w:t>
      </w:r>
      <m:oMath>
        <m:sSub>
          <m:sSubPr>
            <m:ctrlPr>
              <w:rPr>
                <w:rFonts w:ascii="Cambria Math" w:eastAsiaTheme="minorEastAsia" w:hAnsi="Cambria Math"/>
                <w:i/>
                <w:iCs/>
                <w:sz w:val="22"/>
                <w:szCs w:val="22"/>
              </w:rPr>
            </m:ctrlPr>
          </m:sSubPr>
          <m:e>
            <m:r>
              <m:rPr>
                <m:nor/>
              </m:rPr>
              <w:rPr>
                <w:rFonts w:eastAsiaTheme="minorEastAsia"/>
                <w:sz w:val="22"/>
                <w:szCs w:val="22"/>
                <w:lang w:val="el-GR"/>
              </w:rPr>
              <m:t>δ</m:t>
            </m:r>
          </m:e>
          <m:sub>
            <m:r>
              <w:rPr>
                <w:rFonts w:ascii="Cambria Math" w:eastAsiaTheme="minorEastAsia" w:hAnsi="Cambria Math"/>
                <w:sz w:val="22"/>
                <w:szCs w:val="22"/>
              </w:rPr>
              <m:t>1</m:t>
            </m:r>
          </m:sub>
        </m:sSub>
      </m:oMath>
      <w:r w:rsidR="004602D7">
        <w:rPr>
          <w:rFonts w:eastAsiaTheme="minorEastAsia"/>
          <w:sz w:val="22"/>
          <w:szCs w:val="22"/>
          <w:lang w:val="en-US"/>
        </w:rPr>
        <w:t xml:space="preserve"> is ignored after </w:t>
      </w:r>
      <w:r w:rsidR="00312659">
        <w:rPr>
          <w:rFonts w:eastAsiaTheme="minorEastAsia"/>
          <w:sz w:val="22"/>
          <w:szCs w:val="22"/>
          <w:lang w:val="en-US"/>
        </w:rPr>
        <w:t xml:space="preserve">updating </w:t>
      </w:r>
      <w:r w:rsidR="004C710B">
        <w:rPr>
          <w:rFonts w:eastAsiaTheme="minorEastAsia"/>
          <w:sz w:val="22"/>
          <w:szCs w:val="22"/>
          <w:lang w:val="en-US"/>
        </w:rPr>
        <w:t>TPC</w:t>
      </w:r>
      <w:r w:rsidR="004602D7">
        <w:rPr>
          <w:rFonts w:eastAsiaTheme="minorEastAsia"/>
          <w:sz w:val="22"/>
          <w:szCs w:val="22"/>
          <w:lang w:val="en-US"/>
        </w:rPr>
        <w:t xml:space="preserve"> </w:t>
      </w:r>
      <w:r w:rsidR="004C710B">
        <w:rPr>
          <w:rFonts w:eastAsiaTheme="minorEastAsia"/>
          <w:sz w:val="22"/>
          <w:szCs w:val="22"/>
          <w:lang w:val="en-US"/>
        </w:rPr>
        <w:t xml:space="preserve">for DG PUSCH#1 under </w:t>
      </w:r>
      <w:r w:rsidR="004602D7">
        <w:rPr>
          <w:rFonts w:eastAsiaTheme="minorEastAsia"/>
          <w:sz w:val="22"/>
          <w:szCs w:val="22"/>
          <w:lang w:val="en-US"/>
        </w:rPr>
        <w:t xml:space="preserve">the DG PUSCH and CG PUSCH interlaced scenarios. </w:t>
      </w:r>
      <w:r w:rsidR="00312659">
        <w:rPr>
          <w:rFonts w:eastAsiaTheme="minorEastAsia"/>
          <w:sz w:val="22"/>
          <w:szCs w:val="22"/>
          <w:lang w:val="en-US"/>
        </w:rPr>
        <w:t xml:space="preserve">In this </w:t>
      </w:r>
      <w:r w:rsidR="004C710B">
        <w:rPr>
          <w:rFonts w:eastAsiaTheme="minorEastAsia"/>
          <w:sz w:val="22"/>
          <w:szCs w:val="22"/>
          <w:lang w:val="en-US"/>
        </w:rPr>
        <w:t xml:space="preserve">example, the </w:t>
      </w:r>
      <w:r w:rsidR="004C710B" w:rsidRPr="004C710B">
        <w:rPr>
          <w:rFonts w:eastAsiaTheme="minorEastAsia"/>
          <w:sz w:val="22"/>
          <w:szCs w:val="22"/>
          <w:lang w:val="en-US"/>
        </w:rPr>
        <w:t xml:space="preserve">PUSCH power control adjustment </w:t>
      </w:r>
      <w:r w:rsidR="004C710B">
        <w:rPr>
          <w:rFonts w:eastAsiaTheme="minorEastAsia"/>
          <w:sz w:val="22"/>
          <w:szCs w:val="22"/>
          <w:lang w:val="en-US"/>
        </w:rPr>
        <w:t xml:space="preserve">state for CG PUSCH#3 and CG PUSCH#4 is the same as CG PUSCH#1, because the transmission occasions are within a nominal TDW. </w:t>
      </w:r>
      <w:r w:rsidR="001F5413">
        <w:rPr>
          <w:rFonts w:eastAsiaTheme="minorEastAsia"/>
          <w:sz w:val="22"/>
          <w:szCs w:val="22"/>
          <w:lang w:val="en-US"/>
        </w:rPr>
        <w:t xml:space="preserve">Also, DG-PUSCH#2 </w:t>
      </w:r>
      <w:r w:rsidR="00033B7C">
        <w:rPr>
          <w:rFonts w:eastAsiaTheme="minorEastAsia"/>
          <w:sz w:val="22"/>
          <w:szCs w:val="22"/>
          <w:lang w:val="en-US"/>
        </w:rPr>
        <w:t>takes over the PUSCH power control adjustment state from CG PUSCH#4 not DG PUSCH#1, because the transmission occasion</w:t>
      </w:r>
      <w:r w:rsidR="00033B7C" w:rsidRPr="001F5413">
        <w:rPr>
          <w:rFonts w:eastAsiaTheme="minorEastAsia"/>
          <w:i/>
          <w:iCs/>
          <w:sz w:val="22"/>
          <w:szCs w:val="22"/>
          <w:lang w:val="en-US"/>
        </w:rPr>
        <w:t xml:space="preserve"> i -i</w:t>
      </w:r>
      <w:r w:rsidR="00033B7C" w:rsidRPr="001F5413">
        <w:rPr>
          <w:rFonts w:eastAsiaTheme="minorEastAsia"/>
          <w:sz w:val="22"/>
          <w:szCs w:val="22"/>
          <w:vertAlign w:val="subscript"/>
          <w:lang w:val="en-US"/>
        </w:rPr>
        <w:t>0</w:t>
      </w:r>
      <w:r w:rsidR="00033B7C">
        <w:rPr>
          <w:rFonts w:eastAsiaTheme="minorEastAsia"/>
          <w:sz w:val="22"/>
          <w:szCs w:val="22"/>
          <w:lang w:val="en-US"/>
        </w:rPr>
        <w:t xml:space="preserve"> becomes CG PUSCH#4 when </w:t>
      </w:r>
      <w:r w:rsidR="001F5413">
        <w:rPr>
          <w:rFonts w:eastAsiaTheme="minorEastAsia"/>
          <w:sz w:val="22"/>
          <w:szCs w:val="22"/>
          <w:lang w:val="en-US"/>
        </w:rPr>
        <w:t xml:space="preserve">the transmission occasion </w:t>
      </w:r>
      <w:r w:rsidR="001F5413" w:rsidRPr="001F5413">
        <w:rPr>
          <w:rFonts w:eastAsiaTheme="minorEastAsia"/>
          <w:i/>
          <w:iCs/>
          <w:sz w:val="22"/>
          <w:szCs w:val="22"/>
          <w:lang w:val="en-US"/>
        </w:rPr>
        <w:t xml:space="preserve">i </w:t>
      </w:r>
      <w:r w:rsidR="001F5413">
        <w:rPr>
          <w:rFonts w:eastAsiaTheme="minorEastAsia"/>
          <w:sz w:val="22"/>
          <w:szCs w:val="22"/>
          <w:lang w:val="en-US"/>
        </w:rPr>
        <w:t>is DG PUSCH#2.</w:t>
      </w:r>
      <w:r w:rsidR="003D5974">
        <w:rPr>
          <w:rFonts w:eastAsiaTheme="minorEastAsia"/>
          <w:sz w:val="22"/>
          <w:szCs w:val="22"/>
          <w:lang w:val="en-US"/>
        </w:rPr>
        <w:t xml:space="preserve"> </w:t>
      </w:r>
      <w:r w:rsidR="003D5974">
        <w:rPr>
          <w:rFonts w:eastAsiaTheme="minorEastAsia" w:hint="eastAsia"/>
          <w:sz w:val="22"/>
          <w:szCs w:val="22"/>
          <w:lang w:val="en-US"/>
        </w:rPr>
        <w:t>Therefore</w:t>
      </w:r>
      <w:r w:rsidR="001F5413">
        <w:rPr>
          <w:rFonts w:eastAsiaTheme="minorEastAsia"/>
          <w:sz w:val="22"/>
          <w:szCs w:val="22"/>
          <w:lang w:val="en-US"/>
        </w:rPr>
        <w:t xml:space="preserve">, the TPC command </w:t>
      </w:r>
      <m:oMath>
        <m:sSub>
          <m:sSubPr>
            <m:ctrlPr>
              <w:rPr>
                <w:rFonts w:ascii="Cambria Math" w:eastAsiaTheme="minorEastAsia" w:hAnsi="Cambria Math"/>
                <w:i/>
                <w:iCs/>
                <w:sz w:val="22"/>
                <w:szCs w:val="22"/>
              </w:rPr>
            </m:ctrlPr>
          </m:sSubPr>
          <m:e>
            <m:r>
              <m:rPr>
                <m:nor/>
              </m:rPr>
              <w:rPr>
                <w:rFonts w:eastAsiaTheme="minorEastAsia"/>
                <w:sz w:val="22"/>
                <w:szCs w:val="22"/>
                <w:lang w:val="el-GR"/>
              </w:rPr>
              <m:t>δ</m:t>
            </m:r>
          </m:e>
          <m:sub>
            <m:r>
              <w:rPr>
                <w:rFonts w:ascii="Cambria Math" w:eastAsiaTheme="minorEastAsia" w:hAnsi="Cambria Math"/>
                <w:sz w:val="22"/>
                <w:szCs w:val="22"/>
              </w:rPr>
              <m:t>1</m:t>
            </m:r>
          </m:sub>
        </m:sSub>
      </m:oMath>
      <w:r w:rsidR="003D5974">
        <w:rPr>
          <w:rFonts w:eastAsiaTheme="minorEastAsia" w:hint="eastAsia"/>
          <w:iCs/>
          <w:sz w:val="22"/>
          <w:szCs w:val="22"/>
        </w:rPr>
        <w:t xml:space="preserve"> </w:t>
      </w:r>
      <w:r w:rsidR="001F5413">
        <w:rPr>
          <w:rFonts w:eastAsiaTheme="minorEastAsia"/>
          <w:sz w:val="22"/>
          <w:szCs w:val="22"/>
          <w:lang w:val="en-US"/>
        </w:rPr>
        <w:t>accumulated in DG PUSCH#1 is ignored after DG PUSCH#1</w:t>
      </w:r>
      <w:r w:rsidR="00033B7C">
        <w:rPr>
          <w:rFonts w:eastAsiaTheme="minorEastAsia"/>
          <w:sz w:val="22"/>
          <w:szCs w:val="22"/>
          <w:lang w:val="en-US"/>
        </w:rPr>
        <w:t xml:space="preserve"> in some scenarios, even though DG PUSCH and CG PUSCH share the same close-loop state. </w:t>
      </w:r>
    </w:p>
    <w:p w14:paraId="21F3DF31" w14:textId="77777777" w:rsidR="00AA5B66" w:rsidRPr="00AA5B66" w:rsidRDefault="00AA5B66" w:rsidP="0016069E">
      <w:pPr>
        <w:rPr>
          <w:sz w:val="21"/>
          <w:szCs w:val="21"/>
        </w:rPr>
      </w:pPr>
    </w:p>
    <w:p w14:paraId="0504FDB4" w14:textId="11667708" w:rsidR="004602D7" w:rsidRDefault="004C710B" w:rsidP="0016069E">
      <w:pPr>
        <w:rPr>
          <w:sz w:val="22"/>
          <w:szCs w:val="22"/>
        </w:rPr>
      </w:pPr>
      <w:r>
        <w:rPr>
          <w:noProof/>
          <w:sz w:val="22"/>
          <w:szCs w:val="22"/>
          <w:lang w:val="en-US"/>
        </w:rPr>
        <w:drawing>
          <wp:inline distT="0" distB="0" distL="0" distR="0" wp14:anchorId="30A28EDE" wp14:editId="7377F0FE">
            <wp:extent cx="6557089" cy="1474668"/>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84074" cy="1480737"/>
                    </a:xfrm>
                    <a:prstGeom prst="rect">
                      <a:avLst/>
                    </a:prstGeom>
                    <a:noFill/>
                    <a:ln>
                      <a:noFill/>
                    </a:ln>
                  </pic:spPr>
                </pic:pic>
              </a:graphicData>
            </a:graphic>
          </wp:inline>
        </w:drawing>
      </w:r>
    </w:p>
    <w:p w14:paraId="037B1E3D" w14:textId="4E377F05" w:rsidR="004602D7" w:rsidRDefault="004602D7" w:rsidP="004602D7">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Pr>
          <w:sz w:val="22"/>
          <w:szCs w:val="22"/>
          <w:lang w:val="en-US"/>
        </w:rPr>
        <w:t>2</w:t>
      </w:r>
      <w:r w:rsidRPr="001D23A7">
        <w:rPr>
          <w:sz w:val="22"/>
          <w:szCs w:val="22"/>
          <w:lang w:val="en-US"/>
        </w:rPr>
        <w:t>.</w:t>
      </w:r>
      <w:r>
        <w:rPr>
          <w:b w:val="0"/>
          <w:sz w:val="22"/>
          <w:szCs w:val="22"/>
        </w:rPr>
        <w:t xml:space="preserve"> </w:t>
      </w:r>
      <w:r w:rsidR="00312659" w:rsidRPr="00312659">
        <w:rPr>
          <w:b w:val="0"/>
          <w:sz w:val="22"/>
          <w:szCs w:val="22"/>
        </w:rPr>
        <w:t>TPC command</w:t>
      </w:r>
      <w:r w:rsidR="004C710B">
        <w:rPr>
          <w:b w:val="0"/>
          <w:sz w:val="22"/>
          <w:szCs w:val="22"/>
        </w:rPr>
        <w:t xml:space="preserve"> </w:t>
      </w:r>
      <m:oMath>
        <m:sSub>
          <m:sSubPr>
            <m:ctrlPr>
              <w:rPr>
                <w:rFonts w:ascii="Cambria Math" w:hAnsi="Cambria Math"/>
                <w:b w:val="0"/>
                <w:i/>
                <w:iCs/>
                <w:sz w:val="22"/>
                <w:szCs w:val="22"/>
              </w:rPr>
            </m:ctrlPr>
          </m:sSubPr>
          <m:e>
            <m:r>
              <m:rPr>
                <m:nor/>
              </m:rPr>
              <w:rPr>
                <w:b w:val="0"/>
                <w:sz w:val="22"/>
                <w:szCs w:val="22"/>
                <w:lang w:val="el-GR"/>
              </w:rPr>
              <m:t>δ</m:t>
            </m:r>
          </m:e>
          <m:sub>
            <m:r>
              <m:rPr>
                <m:sty m:val="bi"/>
              </m:rPr>
              <w:rPr>
                <w:rFonts w:ascii="Cambria Math" w:hAnsi="Cambria Math"/>
                <w:sz w:val="22"/>
                <w:szCs w:val="22"/>
              </w:rPr>
              <m:t>1</m:t>
            </m:r>
          </m:sub>
        </m:sSub>
      </m:oMath>
      <w:r w:rsidR="00312659" w:rsidRPr="00312659">
        <w:rPr>
          <w:b w:val="0"/>
          <w:sz w:val="22"/>
          <w:szCs w:val="22"/>
        </w:rPr>
        <w:t xml:space="preserve"> is ignored after updating the corresponding TPC command under the DG PUSCH and CG PUSCH interlaced scenarios</w:t>
      </w:r>
      <w:r>
        <w:rPr>
          <w:b w:val="0"/>
          <w:sz w:val="22"/>
          <w:szCs w:val="22"/>
        </w:rPr>
        <w:t xml:space="preserve"> </w:t>
      </w:r>
    </w:p>
    <w:p w14:paraId="186A6529" w14:textId="65BCA687" w:rsidR="00312659" w:rsidRDefault="00312659" w:rsidP="00312659"/>
    <w:p w14:paraId="114D80DB" w14:textId="78568AF1" w:rsidR="00033B7C" w:rsidRDefault="00033B7C" w:rsidP="00312659">
      <w:pPr>
        <w:rPr>
          <w:sz w:val="22"/>
          <w:szCs w:val="22"/>
        </w:rPr>
      </w:pPr>
      <w:r>
        <w:rPr>
          <w:sz w:val="22"/>
          <w:szCs w:val="22"/>
        </w:rPr>
        <w:t xml:space="preserve">This issue can be solved by reverting the working assumption and replacing TPC per nominal TDW with TPC per actual TDW. However, the similar issue can be observed in Rel-15/16 </w:t>
      </w:r>
      <w:r w:rsidR="00677317">
        <w:rPr>
          <w:sz w:val="22"/>
          <w:szCs w:val="22"/>
        </w:rPr>
        <w:t xml:space="preserve">without DMRS bundling </w:t>
      </w:r>
      <w:r>
        <w:rPr>
          <w:sz w:val="22"/>
          <w:szCs w:val="22"/>
        </w:rPr>
        <w:t>as shown in Fig.</w:t>
      </w:r>
      <w:r w:rsidR="007B18E7">
        <w:rPr>
          <w:sz w:val="22"/>
          <w:szCs w:val="22"/>
        </w:rPr>
        <w:t>3</w:t>
      </w:r>
      <w:r w:rsidR="00677317">
        <w:rPr>
          <w:sz w:val="22"/>
          <w:szCs w:val="22"/>
        </w:rPr>
        <w:t xml:space="preserve">. In this case, </w:t>
      </w:r>
      <w:r w:rsidR="00677317" w:rsidRPr="00312659">
        <w:rPr>
          <w:sz w:val="22"/>
          <w:szCs w:val="22"/>
        </w:rPr>
        <w:t>TPC command</w:t>
      </w:r>
      <w:r w:rsidR="00677317">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677317">
        <w:rPr>
          <w:rFonts w:hint="eastAsia"/>
          <w:iCs/>
          <w:sz w:val="22"/>
          <w:szCs w:val="22"/>
        </w:rPr>
        <w:t xml:space="preserve"> </w:t>
      </w:r>
      <w:r w:rsidR="00677317" w:rsidRPr="00312659">
        <w:rPr>
          <w:sz w:val="22"/>
          <w:szCs w:val="22"/>
        </w:rPr>
        <w:t>updat</w:t>
      </w:r>
      <w:r w:rsidR="00677317">
        <w:rPr>
          <w:sz w:val="22"/>
          <w:szCs w:val="22"/>
        </w:rPr>
        <w:t>es</w:t>
      </w:r>
      <w:r w:rsidR="00677317">
        <w:rPr>
          <w:b/>
          <w:sz w:val="22"/>
          <w:szCs w:val="22"/>
        </w:rPr>
        <w:t xml:space="preserve"> </w:t>
      </w:r>
      <w:r w:rsidR="00677317" w:rsidRPr="00677317">
        <w:rPr>
          <w:sz w:val="22"/>
          <w:szCs w:val="22"/>
        </w:rPr>
        <w:t>PUSCH power control adjustment state for CG PUSCH#</w:t>
      </w:r>
      <w:r w:rsidR="00677317" w:rsidRPr="00677317">
        <w:rPr>
          <w:bCs/>
          <w:sz w:val="22"/>
          <w:szCs w:val="22"/>
        </w:rPr>
        <w:t>2</w:t>
      </w:r>
      <w:r w:rsidR="00677317">
        <w:rPr>
          <w:bCs/>
          <w:sz w:val="22"/>
          <w:szCs w:val="22"/>
        </w:rPr>
        <w:t xml:space="preserve">. However, </w:t>
      </w:r>
      <w:r w:rsidR="00BA014A" w:rsidRPr="00312659">
        <w:rPr>
          <w:sz w:val="22"/>
          <w:szCs w:val="22"/>
        </w:rPr>
        <w:t>TPC command</w:t>
      </w:r>
      <w:r w:rsidR="00BA014A">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BA014A">
        <w:rPr>
          <w:rFonts w:hint="eastAsia"/>
          <w:iCs/>
          <w:sz w:val="22"/>
          <w:szCs w:val="22"/>
        </w:rPr>
        <w:t xml:space="preserve"> </w:t>
      </w:r>
      <w:r w:rsidR="00BA014A">
        <w:rPr>
          <w:iCs/>
          <w:sz w:val="22"/>
          <w:szCs w:val="22"/>
        </w:rPr>
        <w:t xml:space="preserve">is ignored after that. Assuming transmission occasion </w:t>
      </w:r>
      <w:r w:rsidR="00BA014A" w:rsidRPr="00BA014A">
        <w:rPr>
          <w:i/>
          <w:sz w:val="22"/>
          <w:szCs w:val="22"/>
        </w:rPr>
        <w:t>i</w:t>
      </w:r>
      <w:r w:rsidR="00BA014A">
        <w:rPr>
          <w:iCs/>
          <w:sz w:val="22"/>
          <w:szCs w:val="22"/>
        </w:rPr>
        <w:t xml:space="preserve"> is DG PUSCH#1, </w:t>
      </w:r>
      <w:r w:rsidR="00BA014A">
        <w:rPr>
          <w:rFonts w:eastAsiaTheme="minorEastAsia"/>
          <w:sz w:val="22"/>
          <w:szCs w:val="22"/>
          <w:lang w:val="en-US"/>
        </w:rPr>
        <w:t>the transmission occasion</w:t>
      </w:r>
      <w:r w:rsidR="00BA014A" w:rsidRPr="001F5413">
        <w:rPr>
          <w:rFonts w:eastAsiaTheme="minorEastAsia"/>
          <w:i/>
          <w:iCs/>
          <w:sz w:val="22"/>
          <w:szCs w:val="22"/>
          <w:lang w:val="en-US"/>
        </w:rPr>
        <w:t xml:space="preserve"> i -i</w:t>
      </w:r>
      <w:r w:rsidR="00BA014A" w:rsidRPr="001F5413">
        <w:rPr>
          <w:rFonts w:eastAsiaTheme="minorEastAsia"/>
          <w:sz w:val="22"/>
          <w:szCs w:val="22"/>
          <w:vertAlign w:val="subscript"/>
          <w:lang w:val="en-US"/>
        </w:rPr>
        <w:t>0</w:t>
      </w:r>
      <w:r w:rsidR="00BA014A">
        <w:rPr>
          <w:rFonts w:eastAsiaTheme="minorEastAsia"/>
          <w:sz w:val="22"/>
          <w:szCs w:val="22"/>
          <w:lang w:val="en-US"/>
        </w:rPr>
        <w:t xml:space="preserve"> becomes CG PUSCH#1</w:t>
      </w:r>
      <w:r w:rsidR="00B2350D">
        <w:rPr>
          <w:rFonts w:eastAsiaTheme="minorEastAsia"/>
          <w:sz w:val="22"/>
          <w:szCs w:val="22"/>
          <w:lang w:val="en-US"/>
        </w:rPr>
        <w:t xml:space="preserve"> instead of CG PUSCH#2</w:t>
      </w:r>
      <w:r w:rsidR="00BA014A">
        <w:rPr>
          <w:rFonts w:eastAsiaTheme="minorEastAsia"/>
          <w:sz w:val="22"/>
          <w:szCs w:val="22"/>
          <w:lang w:val="en-US"/>
        </w:rPr>
        <w:t xml:space="preserve">. </w:t>
      </w:r>
      <w:r w:rsidR="00B2350D">
        <w:rPr>
          <w:rFonts w:eastAsiaTheme="minorEastAsia"/>
          <w:sz w:val="22"/>
          <w:szCs w:val="22"/>
          <w:lang w:val="en-US"/>
        </w:rPr>
        <w:t>Accordingly, t</w:t>
      </w:r>
      <w:r w:rsidR="00BA014A">
        <w:rPr>
          <w:rFonts w:eastAsiaTheme="minorEastAsia"/>
          <w:sz w:val="22"/>
          <w:szCs w:val="22"/>
          <w:lang w:val="en-US"/>
        </w:rPr>
        <w:t xml:space="preserve">he </w:t>
      </w:r>
      <w:r w:rsidR="00BA014A" w:rsidRPr="00677317">
        <w:rPr>
          <w:sz w:val="22"/>
          <w:szCs w:val="22"/>
        </w:rPr>
        <w:t xml:space="preserve">PUSCH power control adjustment state </w:t>
      </w:r>
      <w:r w:rsidR="00B2350D">
        <w:rPr>
          <w:sz w:val="22"/>
          <w:szCs w:val="22"/>
        </w:rPr>
        <w:t>for DG PUSCH#1 is calculated from one for</w:t>
      </w:r>
      <w:r w:rsidR="00BA014A">
        <w:rPr>
          <w:bCs/>
          <w:sz w:val="22"/>
          <w:szCs w:val="22"/>
        </w:rPr>
        <w:t xml:space="preserve"> </w:t>
      </w:r>
      <w:r w:rsidR="00B2350D">
        <w:rPr>
          <w:bCs/>
          <w:sz w:val="22"/>
          <w:szCs w:val="22"/>
        </w:rPr>
        <w:t>C</w:t>
      </w:r>
      <w:r w:rsidR="00BA014A">
        <w:rPr>
          <w:bCs/>
          <w:sz w:val="22"/>
          <w:szCs w:val="22"/>
        </w:rPr>
        <w:t xml:space="preserve">G PUSCH#1. In the same way, </w:t>
      </w:r>
      <w:r w:rsidR="00BA014A">
        <w:rPr>
          <w:rFonts w:eastAsiaTheme="minorEastAsia"/>
          <w:sz w:val="22"/>
          <w:szCs w:val="22"/>
          <w:lang w:val="en-US"/>
        </w:rPr>
        <w:t xml:space="preserve">the </w:t>
      </w:r>
      <w:r w:rsidR="00BA014A" w:rsidRPr="00677317">
        <w:rPr>
          <w:sz w:val="22"/>
          <w:szCs w:val="22"/>
        </w:rPr>
        <w:t xml:space="preserve">PUSCH power control adjustment state </w:t>
      </w:r>
      <w:r w:rsidR="00BA014A">
        <w:rPr>
          <w:sz w:val="22"/>
          <w:szCs w:val="22"/>
        </w:rPr>
        <w:t>is taken over from D</w:t>
      </w:r>
      <w:r w:rsidR="00BA014A" w:rsidRPr="00677317">
        <w:rPr>
          <w:sz w:val="22"/>
          <w:szCs w:val="22"/>
        </w:rPr>
        <w:t>G PUSCH#</w:t>
      </w:r>
      <w:r w:rsidR="00BA014A">
        <w:rPr>
          <w:bCs/>
          <w:sz w:val="22"/>
          <w:szCs w:val="22"/>
        </w:rPr>
        <w:t>1 to CG PUSCH#3.</w:t>
      </w:r>
      <w:r w:rsidR="00B2350D">
        <w:rPr>
          <w:bCs/>
          <w:sz w:val="22"/>
          <w:szCs w:val="22"/>
        </w:rPr>
        <w:t xml:space="preserve"> Therefore, the </w:t>
      </w:r>
      <w:r w:rsidR="00B2350D" w:rsidRPr="00312659">
        <w:rPr>
          <w:sz w:val="22"/>
          <w:szCs w:val="22"/>
        </w:rPr>
        <w:t>TPC command</w:t>
      </w:r>
      <w:r w:rsidR="00B2350D">
        <w:rPr>
          <w:b/>
          <w:sz w:val="22"/>
          <w:szCs w:val="22"/>
        </w:rPr>
        <w:t xml:space="preserve"> </w:t>
      </w:r>
      <m:oMath>
        <m:sSub>
          <m:sSubPr>
            <m:ctrlPr>
              <w:rPr>
                <w:rFonts w:ascii="Cambria Math" w:hAnsi="Cambria Math"/>
                <w:i/>
                <w:iCs/>
                <w:sz w:val="22"/>
                <w:szCs w:val="22"/>
              </w:rPr>
            </m:ctrlPr>
          </m:sSubPr>
          <m:e>
            <m:r>
              <m:rPr>
                <m:nor/>
              </m:rPr>
              <w:rPr>
                <w:sz w:val="22"/>
                <w:szCs w:val="22"/>
                <w:lang w:val="el-GR"/>
              </w:rPr>
              <m:t>δ</m:t>
            </m:r>
          </m:e>
          <m:sub>
            <m:r>
              <m:rPr>
                <m:sty m:val="bi"/>
              </m:rPr>
              <w:rPr>
                <w:rFonts w:ascii="Cambria Math" w:hAnsi="Cambria Math"/>
                <w:sz w:val="22"/>
                <w:szCs w:val="22"/>
              </w:rPr>
              <m:t>2</m:t>
            </m:r>
          </m:sub>
        </m:sSub>
      </m:oMath>
      <w:r w:rsidR="00B2350D">
        <w:rPr>
          <w:rFonts w:hint="eastAsia"/>
          <w:iCs/>
          <w:sz w:val="22"/>
          <w:szCs w:val="22"/>
        </w:rPr>
        <w:t xml:space="preserve"> </w:t>
      </w:r>
      <w:r w:rsidR="00B2350D">
        <w:rPr>
          <w:iCs/>
          <w:sz w:val="22"/>
          <w:szCs w:val="22"/>
        </w:rPr>
        <w:t xml:space="preserve">takes effect only in CG PUSCH#2, even though DG PUSCH and CG PUSCH share </w:t>
      </w:r>
      <w:r w:rsidR="00B2350D">
        <w:rPr>
          <w:rFonts w:eastAsiaTheme="minorEastAsia"/>
          <w:sz w:val="22"/>
          <w:szCs w:val="22"/>
          <w:lang w:val="en-US"/>
        </w:rPr>
        <w:t xml:space="preserve">the same close-loop state. As </w:t>
      </w:r>
      <w:r w:rsidR="009F47ED">
        <w:rPr>
          <w:rFonts w:eastAsiaTheme="minorEastAsia"/>
          <w:sz w:val="22"/>
          <w:szCs w:val="22"/>
          <w:lang w:val="en-US"/>
        </w:rPr>
        <w:t xml:space="preserve">this issue resides in </w:t>
      </w:r>
      <w:r w:rsidR="00B2350D">
        <w:rPr>
          <w:rFonts w:eastAsiaTheme="minorEastAsia"/>
          <w:sz w:val="22"/>
          <w:szCs w:val="22"/>
          <w:lang w:val="en-US"/>
        </w:rPr>
        <w:t>Rel-15/16</w:t>
      </w:r>
      <w:r w:rsidR="007B18E7">
        <w:rPr>
          <w:rFonts w:eastAsiaTheme="minorEastAsia"/>
          <w:sz w:val="22"/>
          <w:szCs w:val="22"/>
          <w:lang w:val="en-US"/>
        </w:rPr>
        <w:t xml:space="preserve"> irrespective of DMRS bundling</w:t>
      </w:r>
      <w:r w:rsidR="00B2350D">
        <w:rPr>
          <w:rFonts w:eastAsiaTheme="minorEastAsia"/>
          <w:sz w:val="22"/>
          <w:szCs w:val="22"/>
          <w:lang w:val="en-US"/>
        </w:rPr>
        <w:t>, we think it is not necessary to revert the working assumption</w:t>
      </w:r>
      <w:r w:rsidR="009F47ED">
        <w:rPr>
          <w:rFonts w:eastAsiaTheme="minorEastAsia"/>
          <w:sz w:val="22"/>
          <w:szCs w:val="22"/>
          <w:lang w:val="en-US"/>
        </w:rPr>
        <w:t xml:space="preserve"> and the discussion assuming TPC command per a nominal TDW. </w:t>
      </w:r>
    </w:p>
    <w:p w14:paraId="1661A616" w14:textId="77777777" w:rsidR="00677317" w:rsidRPr="00BA014A" w:rsidRDefault="00677317" w:rsidP="00312659">
      <w:pPr>
        <w:rPr>
          <w:sz w:val="22"/>
          <w:szCs w:val="22"/>
        </w:rPr>
      </w:pPr>
    </w:p>
    <w:p w14:paraId="7422DBE4" w14:textId="51A2130C" w:rsidR="00677317" w:rsidRDefault="00096F76" w:rsidP="00312659">
      <w:pPr>
        <w:rPr>
          <w:sz w:val="22"/>
          <w:szCs w:val="22"/>
        </w:rPr>
      </w:pPr>
      <w:r>
        <w:rPr>
          <w:noProof/>
          <w:sz w:val="22"/>
          <w:szCs w:val="22"/>
          <w:lang w:val="en-US"/>
        </w:rPr>
        <w:drawing>
          <wp:inline distT="0" distB="0" distL="0" distR="0" wp14:anchorId="31FCD0BD" wp14:editId="7F55F416">
            <wp:extent cx="6412542" cy="1226244"/>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41321" cy="1231747"/>
                    </a:xfrm>
                    <a:prstGeom prst="rect">
                      <a:avLst/>
                    </a:prstGeom>
                    <a:noFill/>
                    <a:ln>
                      <a:noFill/>
                    </a:ln>
                  </pic:spPr>
                </pic:pic>
              </a:graphicData>
            </a:graphic>
          </wp:inline>
        </w:drawing>
      </w:r>
    </w:p>
    <w:p w14:paraId="5DB07AB0" w14:textId="5A445BF0" w:rsidR="00677317" w:rsidRDefault="00677317" w:rsidP="00677317">
      <w:pPr>
        <w:pStyle w:val="af3"/>
        <w:jc w:val="center"/>
        <w:rPr>
          <w:b w:val="0"/>
          <w:sz w:val="22"/>
          <w:szCs w:val="22"/>
        </w:rPr>
      </w:pPr>
      <w:r w:rsidRPr="001D23A7">
        <w:rPr>
          <w:rFonts w:hint="eastAsia"/>
          <w:sz w:val="22"/>
          <w:szCs w:val="22"/>
          <w:lang w:val="en-US"/>
        </w:rPr>
        <w:t>F</w:t>
      </w:r>
      <w:r w:rsidRPr="001D23A7">
        <w:rPr>
          <w:sz w:val="22"/>
          <w:szCs w:val="22"/>
          <w:lang w:val="en-US"/>
        </w:rPr>
        <w:t xml:space="preserve">igure </w:t>
      </w:r>
      <w:r w:rsidR="007B18E7">
        <w:rPr>
          <w:sz w:val="22"/>
          <w:szCs w:val="22"/>
          <w:lang w:val="en-US"/>
        </w:rPr>
        <w:t>3</w:t>
      </w:r>
      <w:r w:rsidRPr="001D23A7">
        <w:rPr>
          <w:sz w:val="22"/>
          <w:szCs w:val="22"/>
          <w:lang w:val="en-US"/>
        </w:rPr>
        <w:t>.</w:t>
      </w:r>
      <w:r>
        <w:rPr>
          <w:b w:val="0"/>
          <w:sz w:val="22"/>
          <w:szCs w:val="22"/>
        </w:rPr>
        <w:t xml:space="preserve"> </w:t>
      </w:r>
      <w:r w:rsidRPr="00312659">
        <w:rPr>
          <w:b w:val="0"/>
          <w:sz w:val="22"/>
          <w:szCs w:val="22"/>
        </w:rPr>
        <w:t>TPC command</w:t>
      </w:r>
      <w:r>
        <w:rPr>
          <w:b w:val="0"/>
          <w:sz w:val="22"/>
          <w:szCs w:val="22"/>
        </w:rPr>
        <w:t xml:space="preserve"> </w:t>
      </w:r>
      <m:oMath>
        <m:sSub>
          <m:sSubPr>
            <m:ctrlPr>
              <w:rPr>
                <w:rFonts w:ascii="Cambria Math" w:hAnsi="Cambria Math"/>
                <w:b w:val="0"/>
                <w:i/>
                <w:iCs/>
                <w:sz w:val="22"/>
                <w:szCs w:val="22"/>
              </w:rPr>
            </m:ctrlPr>
          </m:sSubPr>
          <m:e>
            <m:r>
              <m:rPr>
                <m:nor/>
              </m:rPr>
              <w:rPr>
                <w:b w:val="0"/>
                <w:sz w:val="22"/>
                <w:szCs w:val="22"/>
                <w:lang w:val="el-GR"/>
              </w:rPr>
              <m:t>δ</m:t>
            </m:r>
          </m:e>
          <m:sub>
            <m:r>
              <m:rPr>
                <m:sty m:val="bi"/>
              </m:rPr>
              <w:rPr>
                <w:rFonts w:ascii="Cambria Math" w:hAnsi="Cambria Math"/>
                <w:sz w:val="22"/>
                <w:szCs w:val="22"/>
              </w:rPr>
              <m:t>2</m:t>
            </m:r>
          </m:sub>
        </m:sSub>
      </m:oMath>
      <w:r w:rsidRPr="00312659">
        <w:rPr>
          <w:b w:val="0"/>
          <w:sz w:val="22"/>
          <w:szCs w:val="22"/>
        </w:rPr>
        <w:t xml:space="preserve"> is ignored after updating t</w:t>
      </w:r>
      <w:r>
        <w:rPr>
          <w:b w:val="0"/>
          <w:sz w:val="22"/>
          <w:szCs w:val="22"/>
        </w:rPr>
        <w:t xml:space="preserve">he </w:t>
      </w:r>
      <w:r w:rsidRPr="00677317">
        <w:rPr>
          <w:b w:val="0"/>
          <w:sz w:val="22"/>
          <w:szCs w:val="22"/>
        </w:rPr>
        <w:t>PUSCH power control adjustment state for CG PUSCH#</w:t>
      </w:r>
      <w:r>
        <w:rPr>
          <w:b w:val="0"/>
          <w:sz w:val="22"/>
          <w:szCs w:val="22"/>
        </w:rPr>
        <w:t>2 under</w:t>
      </w:r>
      <w:r w:rsidRPr="00312659">
        <w:rPr>
          <w:b w:val="0"/>
          <w:sz w:val="22"/>
          <w:szCs w:val="22"/>
        </w:rPr>
        <w:t xml:space="preserve"> the DG PUSCH and CG PUSCH interlaced scenarios</w:t>
      </w:r>
      <w:r>
        <w:rPr>
          <w:b w:val="0"/>
          <w:sz w:val="22"/>
          <w:szCs w:val="22"/>
        </w:rPr>
        <w:t xml:space="preserve"> </w:t>
      </w:r>
    </w:p>
    <w:p w14:paraId="3AFED7CE" w14:textId="77777777" w:rsidR="00033B7C" w:rsidRPr="00677317" w:rsidRDefault="00033B7C" w:rsidP="00312659">
      <w:pPr>
        <w:rPr>
          <w:sz w:val="22"/>
          <w:szCs w:val="22"/>
        </w:rPr>
      </w:pPr>
    </w:p>
    <w:p w14:paraId="39C31836" w14:textId="41745427" w:rsidR="004A3313" w:rsidRPr="001401B5" w:rsidRDefault="006D02C5" w:rsidP="006D02C5">
      <w:pPr>
        <w:rPr>
          <w:b/>
          <w:bCs/>
          <w:sz w:val="22"/>
          <w:szCs w:val="22"/>
          <w:lang w:val="en-US"/>
        </w:rPr>
      </w:pPr>
      <w:r>
        <w:rPr>
          <w:rFonts w:eastAsia="游明朝"/>
          <w:b/>
          <w:sz w:val="22"/>
          <w:szCs w:val="22"/>
          <w:u w:val="single"/>
          <w:lang w:val="en-US"/>
        </w:rPr>
        <w:t xml:space="preserve">Proposal </w:t>
      </w:r>
      <w:r w:rsidR="00815DA6">
        <w:rPr>
          <w:rFonts w:eastAsia="游明朝"/>
          <w:b/>
          <w:sz w:val="22"/>
          <w:szCs w:val="22"/>
          <w:u w:val="single"/>
          <w:lang w:val="en-US"/>
        </w:rPr>
        <w:t>4</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 xml:space="preserve">No need to revert the working assumption </w:t>
      </w:r>
      <w:r w:rsidR="00AD51EE">
        <w:rPr>
          <w:rFonts w:eastAsia="游明朝"/>
          <w:b/>
          <w:sz w:val="22"/>
          <w:szCs w:val="22"/>
        </w:rPr>
        <w:t>about</w:t>
      </w:r>
      <w:r>
        <w:rPr>
          <w:rFonts w:eastAsia="游明朝"/>
          <w:b/>
          <w:sz w:val="22"/>
          <w:szCs w:val="22"/>
        </w:rPr>
        <w:t xml:space="preserve"> TPC command </w:t>
      </w:r>
      <w:r w:rsidR="007B18E7">
        <w:rPr>
          <w:rFonts w:eastAsia="游明朝"/>
          <w:b/>
          <w:sz w:val="22"/>
          <w:szCs w:val="22"/>
        </w:rPr>
        <w:t>under</w:t>
      </w:r>
      <w:r w:rsidR="00AD51EE">
        <w:rPr>
          <w:rFonts w:eastAsia="游明朝"/>
          <w:b/>
          <w:sz w:val="22"/>
          <w:szCs w:val="22"/>
        </w:rPr>
        <w:t xml:space="preserve"> DMRS bundling </w:t>
      </w:r>
      <w:r w:rsidR="007B18E7">
        <w:rPr>
          <w:rFonts w:eastAsia="游明朝"/>
          <w:b/>
          <w:sz w:val="22"/>
          <w:szCs w:val="22"/>
        </w:rPr>
        <w:t xml:space="preserve">in order </w:t>
      </w:r>
      <w:r>
        <w:rPr>
          <w:rFonts w:eastAsia="游明朝"/>
          <w:b/>
          <w:sz w:val="22"/>
          <w:szCs w:val="22"/>
        </w:rPr>
        <w:t xml:space="preserve">to </w:t>
      </w:r>
      <w:r w:rsidR="007B18E7">
        <w:rPr>
          <w:rFonts w:eastAsia="游明朝"/>
          <w:b/>
          <w:sz w:val="22"/>
          <w:szCs w:val="22"/>
        </w:rPr>
        <w:t>change TPC command per</w:t>
      </w:r>
      <w:r>
        <w:rPr>
          <w:rFonts w:eastAsia="游明朝"/>
          <w:b/>
          <w:sz w:val="22"/>
          <w:szCs w:val="22"/>
        </w:rPr>
        <w:t xml:space="preserve"> a nominal TDW </w:t>
      </w:r>
      <w:r w:rsidR="00A64418">
        <w:rPr>
          <w:rFonts w:eastAsia="游明朝"/>
          <w:b/>
          <w:sz w:val="22"/>
          <w:szCs w:val="22"/>
        </w:rPr>
        <w:t xml:space="preserve">to TPC command </w:t>
      </w:r>
      <w:r w:rsidR="007B18E7">
        <w:rPr>
          <w:rFonts w:eastAsia="游明朝"/>
          <w:b/>
          <w:sz w:val="22"/>
          <w:szCs w:val="22"/>
        </w:rPr>
        <w:t xml:space="preserve">per </w:t>
      </w:r>
      <w:r>
        <w:rPr>
          <w:rFonts w:eastAsia="游明朝"/>
          <w:b/>
          <w:sz w:val="22"/>
          <w:szCs w:val="22"/>
        </w:rPr>
        <w:t>a</w:t>
      </w:r>
      <w:r w:rsidR="00911F4E">
        <w:rPr>
          <w:rFonts w:eastAsia="游明朝"/>
          <w:b/>
          <w:sz w:val="22"/>
          <w:szCs w:val="22"/>
        </w:rPr>
        <w:t>n</w:t>
      </w:r>
      <w:r>
        <w:rPr>
          <w:rFonts w:eastAsia="游明朝"/>
          <w:b/>
          <w:sz w:val="22"/>
          <w:szCs w:val="22"/>
        </w:rPr>
        <w:t xml:space="preserve"> actual TDW.</w:t>
      </w:r>
    </w:p>
    <w:p w14:paraId="33425DC3" w14:textId="50DD64F3" w:rsidR="004147B1" w:rsidRDefault="004147B1" w:rsidP="0016069E">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9A8BB96" w14:textId="7CA38327"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Pr>
          <w:rFonts w:eastAsiaTheme="minorEastAsia"/>
          <w:sz w:val="22"/>
          <w:szCs w:val="22"/>
          <w:lang w:val="en-US"/>
        </w:rPr>
        <w:t>joint channel estimation for PUSCH in</w:t>
      </w:r>
      <w:r w:rsidRPr="00BA56A1">
        <w:rPr>
          <w:rFonts w:eastAsia="ＭＳ 明朝" w:hint="eastAsia"/>
          <w:sz w:val="22"/>
          <w:szCs w:val="22"/>
          <w:lang w:val="en-US"/>
        </w:rPr>
        <w:t xml:space="preserve"> coverage </w:t>
      </w:r>
      <w:r w:rsidRPr="00BA56A1">
        <w:rPr>
          <w:rFonts w:eastAsia="ＭＳ 明朝"/>
          <w:sz w:val="22"/>
          <w:szCs w:val="22"/>
          <w:lang w:val="en-US"/>
        </w:rPr>
        <w:t>en</w:t>
      </w:r>
      <w:r>
        <w:rPr>
          <w:rFonts w:eastAsia="ＭＳ 明朝" w:hint="eastAsia"/>
          <w:sz w:val="22"/>
          <w:szCs w:val="22"/>
          <w:lang w:val="en-US"/>
        </w:rPr>
        <w:t>h</w:t>
      </w:r>
      <w:r>
        <w:rPr>
          <w:rFonts w:eastAsia="ＭＳ 明朝"/>
          <w:sz w:val="22"/>
          <w:szCs w:val="22"/>
          <w:lang w:val="en-US"/>
        </w:rPr>
        <w:t>ance</w:t>
      </w:r>
      <w:r w:rsidRPr="00BA56A1">
        <w:rPr>
          <w:rFonts w:eastAsia="ＭＳ 明朝"/>
          <w:sz w:val="22"/>
          <w:szCs w:val="22"/>
          <w:lang w:val="en-US"/>
        </w:rPr>
        <w:t>ments</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 and observation</w:t>
      </w:r>
      <w:r w:rsidR="00A64418">
        <w:rPr>
          <w:rFonts w:eastAsiaTheme="minorEastAsia"/>
          <w:sz w:val="22"/>
          <w:szCs w:val="22"/>
          <w:lang w:val="en-US"/>
        </w:rPr>
        <w:t>s</w:t>
      </w:r>
      <w:r w:rsidRPr="00BA56A1">
        <w:rPr>
          <w:rFonts w:eastAsiaTheme="minorEastAsia" w:hint="eastAsia"/>
          <w:sz w:val="22"/>
          <w:szCs w:val="22"/>
          <w:lang w:val="en-US"/>
        </w:rPr>
        <w:t>.</w:t>
      </w:r>
    </w:p>
    <w:p w14:paraId="494A1013" w14:textId="09E4BB66" w:rsidR="0016439E" w:rsidRDefault="0016439E" w:rsidP="00137FAA">
      <w:pPr>
        <w:rPr>
          <w:lang w:val="en-US"/>
        </w:rPr>
      </w:pPr>
    </w:p>
    <w:p w14:paraId="392F41AB" w14:textId="77777777" w:rsidR="00911F4E" w:rsidRDefault="00911F4E" w:rsidP="00911F4E">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sidRPr="00422BED">
        <w:rPr>
          <w:rFonts w:eastAsia="游明朝"/>
          <w:b/>
          <w:sz w:val="22"/>
          <w:szCs w:val="22"/>
        </w:rPr>
        <w:t>Make conclusion that if a semi-static event is triggered after one or multiple dynamic events, a new actual TDW is created after the semi-static event regardless of UE capability.</w:t>
      </w:r>
    </w:p>
    <w:p w14:paraId="26F5F0A1" w14:textId="0F1F2731" w:rsidR="006D02C5" w:rsidRPr="00911F4E" w:rsidRDefault="006D02C5" w:rsidP="00137FAA"/>
    <w:p w14:paraId="6DFE30E5" w14:textId="77777777" w:rsidR="00911F4E" w:rsidRDefault="00911F4E" w:rsidP="00911F4E">
      <w:pPr>
        <w:autoSpaceDE w:val="0"/>
        <w:autoSpaceDN w:val="0"/>
        <w:adjustRightInd w:val="0"/>
        <w:snapToGrid w:val="0"/>
        <w:spacing w:after="120" w:line="259" w:lineRule="auto"/>
        <w:jc w:val="both"/>
        <w:rPr>
          <w:b/>
          <w:sz w:val="21"/>
          <w:szCs w:val="21"/>
        </w:rPr>
      </w:pPr>
      <w:r w:rsidRPr="00815DA6">
        <w:rPr>
          <w:rFonts w:eastAsia="游明朝"/>
          <w:b/>
          <w:sz w:val="22"/>
          <w:szCs w:val="22"/>
          <w:u w:val="single"/>
          <w:lang w:val="en-US"/>
        </w:rPr>
        <w:t>Proposal 2</w:t>
      </w:r>
      <w:r w:rsidRPr="00815DA6">
        <w:rPr>
          <w:rFonts w:eastAsia="游明朝"/>
          <w:b/>
          <w:sz w:val="22"/>
          <w:szCs w:val="22"/>
          <w:u w:val="single"/>
        </w:rPr>
        <w:t>:</w:t>
      </w:r>
      <w:r w:rsidRPr="00815DA6">
        <w:rPr>
          <w:rFonts w:eastAsia="游明朝" w:hint="eastAsia"/>
          <w:b/>
          <w:sz w:val="22"/>
          <w:szCs w:val="22"/>
        </w:rPr>
        <w:t xml:space="preserve"> </w:t>
      </w:r>
      <w:r w:rsidRPr="00815DA6">
        <w:rPr>
          <w:rFonts w:eastAsia="游明朝"/>
          <w:b/>
          <w:sz w:val="22"/>
          <w:szCs w:val="22"/>
        </w:rPr>
        <w:t xml:space="preserve">Clarify the interpretation regarding the Rel-15/16 TPC command procedure in two aspects: </w:t>
      </w:r>
      <w:r w:rsidRPr="00815DA6">
        <w:rPr>
          <w:b/>
          <w:sz w:val="21"/>
          <w:szCs w:val="21"/>
        </w:rPr>
        <w:t xml:space="preserve">definition of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815DA6">
        <w:rPr>
          <w:b/>
          <w:sz w:val="21"/>
          <w:szCs w:val="21"/>
        </w:rPr>
        <w:t xml:space="preserve"> for DG-PUSCH and absolute TPC command with DCI format 2_2 for CG PUSCH.</w:t>
      </w:r>
    </w:p>
    <w:p w14:paraId="6BA6AF74" w14:textId="77777777" w:rsidR="00911F4E" w:rsidRDefault="00911F4E" w:rsidP="00911F4E">
      <w:pPr>
        <w:rPr>
          <w:sz w:val="21"/>
          <w:szCs w:val="21"/>
        </w:rPr>
      </w:pPr>
    </w:p>
    <w:p w14:paraId="73465137" w14:textId="74A5D45F" w:rsidR="00911F4E" w:rsidRPr="00911F4E" w:rsidRDefault="00911F4E" w:rsidP="00911F4E">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Support Option 3 as a TPC command procedure when DMRS bundling is enabled.</w:t>
      </w:r>
    </w:p>
    <w:p w14:paraId="6BF56655" w14:textId="0186EC14" w:rsidR="006D02C5" w:rsidRDefault="006D02C5" w:rsidP="00137FAA">
      <w:pPr>
        <w:rPr>
          <w:lang w:val="en-US"/>
        </w:rPr>
      </w:pPr>
    </w:p>
    <w:p w14:paraId="29658A53" w14:textId="77777777" w:rsidR="00911F4E" w:rsidRPr="001401B5" w:rsidRDefault="00911F4E" w:rsidP="00911F4E">
      <w:pPr>
        <w:rPr>
          <w:b/>
          <w:bCs/>
          <w:sz w:val="22"/>
          <w:szCs w:val="22"/>
          <w:lang w:val="en-US"/>
        </w:rPr>
      </w:pPr>
      <w:r>
        <w:rPr>
          <w:rFonts w:eastAsia="游明朝"/>
          <w:b/>
          <w:sz w:val="22"/>
          <w:szCs w:val="22"/>
          <w:u w:val="single"/>
          <w:lang w:val="en-US"/>
        </w:rPr>
        <w:t>Proposal 4</w:t>
      </w:r>
      <w:r w:rsidRPr="00212346">
        <w:rPr>
          <w:rFonts w:eastAsia="游明朝"/>
          <w:b/>
          <w:sz w:val="22"/>
          <w:szCs w:val="22"/>
          <w:u w:val="single"/>
        </w:rPr>
        <w:t>:</w:t>
      </w:r>
      <w:r w:rsidRPr="004C3828">
        <w:rPr>
          <w:rFonts w:eastAsia="游明朝" w:hint="eastAsia"/>
          <w:b/>
          <w:sz w:val="22"/>
          <w:szCs w:val="22"/>
        </w:rPr>
        <w:t xml:space="preserve"> </w:t>
      </w:r>
      <w:r>
        <w:rPr>
          <w:rFonts w:eastAsia="游明朝"/>
          <w:b/>
          <w:sz w:val="22"/>
          <w:szCs w:val="22"/>
        </w:rPr>
        <w:t>No need to revert the working assumption about TPC command under DMRS bundling in order to change TPC command per a nominal TDW to TPC command per an actual TDW.</w:t>
      </w:r>
    </w:p>
    <w:p w14:paraId="301B7BB5" w14:textId="4559A65E" w:rsidR="00911F4E" w:rsidRDefault="00911F4E" w:rsidP="00137FAA">
      <w:pPr>
        <w:rPr>
          <w:lang w:val="en-US"/>
        </w:rPr>
      </w:pPr>
    </w:p>
    <w:p w14:paraId="700808D9" w14:textId="77777777" w:rsidR="00911F4E" w:rsidRPr="004D2B38" w:rsidRDefault="00911F4E" w:rsidP="00911F4E">
      <w:pPr>
        <w:rPr>
          <w:b/>
          <w:bCs/>
          <w:sz w:val="21"/>
          <w:szCs w:val="21"/>
        </w:rPr>
      </w:pPr>
      <w:r w:rsidRPr="004D2B38">
        <w:rPr>
          <w:b/>
          <w:bCs/>
          <w:sz w:val="22"/>
          <w:szCs w:val="22"/>
          <w:u w:val="single"/>
        </w:rPr>
        <w:t>Observation 1:</w:t>
      </w:r>
      <w:r w:rsidRPr="004D2B38">
        <w:rPr>
          <w:b/>
          <w:bCs/>
          <w:sz w:val="22"/>
          <w:szCs w:val="22"/>
        </w:rPr>
        <w:t xml:space="preserve"> </w:t>
      </w:r>
      <w:r w:rsidRPr="00FD6037">
        <w:rPr>
          <w:b/>
          <w:bCs/>
          <w:sz w:val="22"/>
          <w:szCs w:val="22"/>
        </w:rPr>
        <w:t xml:space="preserve">If </w:t>
      </w:r>
      <m:oMath>
        <m:sSub>
          <m:sSubPr>
            <m:ctrlPr>
              <w:rPr>
                <w:rFonts w:ascii="Cambria Math" w:hAnsi="Cambria Math"/>
                <w:b/>
                <w:sz w:val="21"/>
                <w:szCs w:val="21"/>
              </w:rPr>
            </m:ctrlPr>
          </m:sSubPr>
          <m:e>
            <m:r>
              <m:rPr>
                <m:sty m:val="bi"/>
              </m:rPr>
              <w:rPr>
                <w:rFonts w:ascii="Cambria Math" w:hAnsi="Cambria Math"/>
                <w:sz w:val="21"/>
                <w:szCs w:val="21"/>
              </w:rPr>
              <m:t>K</m:t>
            </m:r>
          </m:e>
          <m:sub>
            <m:r>
              <m:rPr>
                <m:sty m:val="b"/>
              </m:rPr>
              <w:rPr>
                <w:rFonts w:ascii="Cambria Math" w:hAnsi="Cambria Math"/>
                <w:sz w:val="21"/>
                <w:szCs w:val="21"/>
              </w:rPr>
              <m:t>PUSCH</m:t>
            </m:r>
          </m:sub>
        </m:sSub>
        <m:r>
          <m:rPr>
            <m:sty m:val="b"/>
          </m:rPr>
          <w:rPr>
            <w:rFonts w:ascii="Cambria Math" w:hAnsi="Cambria Math"/>
            <w:sz w:val="21"/>
            <w:szCs w:val="21"/>
          </w:rPr>
          <m:t>(</m:t>
        </m:r>
        <m:r>
          <m:rPr>
            <m:sty m:val="bi"/>
          </m:rPr>
          <w:rPr>
            <w:rFonts w:ascii="Cambria Math" w:hAnsi="Cambria Math"/>
            <w:sz w:val="21"/>
            <w:szCs w:val="21"/>
          </w:rPr>
          <m:t>i</m:t>
        </m:r>
        <m:r>
          <m:rPr>
            <m:sty m:val="b"/>
          </m:rPr>
          <w:rPr>
            <w:rFonts w:ascii="Cambria Math" w:hAnsi="Cambria Math"/>
            <w:sz w:val="21"/>
            <w:szCs w:val="21"/>
          </w:rPr>
          <m:t>)</m:t>
        </m:r>
      </m:oMath>
      <w:r w:rsidRPr="00FD6037">
        <w:rPr>
          <w:b/>
          <w:bCs/>
          <w:sz w:val="22"/>
          <w:szCs w:val="22"/>
        </w:rPr>
        <w:t xml:space="preserve"> is defined as the number of OFDM symbols before a first symbol of the first PUSCH repetition for a TB, there is no need to enhance TPC command procedure for DMRS bundling over DG PUSCH repetitions.</w:t>
      </w:r>
      <w:r w:rsidRPr="004D2B38">
        <w:rPr>
          <w:b/>
          <w:bCs/>
          <w:sz w:val="21"/>
          <w:szCs w:val="21"/>
        </w:rPr>
        <w:t xml:space="preserve"> </w:t>
      </w:r>
    </w:p>
    <w:p w14:paraId="15DCC2DA" w14:textId="77777777" w:rsidR="00911F4E" w:rsidRPr="00911F4E" w:rsidRDefault="00911F4E" w:rsidP="00137FAA"/>
    <w:p w14:paraId="359396CB" w14:textId="1DD2A869" w:rsidR="00911F4E" w:rsidRDefault="00911F4E" w:rsidP="00137FAA">
      <w:pPr>
        <w:rPr>
          <w:b/>
          <w:bCs/>
          <w:sz w:val="21"/>
          <w:szCs w:val="21"/>
        </w:rPr>
      </w:pPr>
      <w:r w:rsidRPr="004D2B38">
        <w:rPr>
          <w:b/>
          <w:bCs/>
          <w:sz w:val="22"/>
          <w:szCs w:val="22"/>
          <w:u w:val="single"/>
        </w:rPr>
        <w:t xml:space="preserve">Observation </w:t>
      </w:r>
      <w:r>
        <w:rPr>
          <w:b/>
          <w:bCs/>
          <w:sz w:val="22"/>
          <w:szCs w:val="22"/>
          <w:u w:val="single"/>
        </w:rPr>
        <w:t>2</w:t>
      </w:r>
      <w:r w:rsidRPr="004D2B38">
        <w:rPr>
          <w:b/>
          <w:bCs/>
          <w:sz w:val="22"/>
          <w:szCs w:val="22"/>
          <w:u w:val="single"/>
        </w:rPr>
        <w:t>:</w:t>
      </w:r>
      <w:r w:rsidRPr="004D2B38">
        <w:rPr>
          <w:b/>
          <w:bCs/>
          <w:sz w:val="22"/>
          <w:szCs w:val="22"/>
        </w:rPr>
        <w:t xml:space="preserve"> </w:t>
      </w:r>
      <w:r w:rsidRPr="004D2B38">
        <w:rPr>
          <w:b/>
          <w:bCs/>
          <w:sz w:val="22"/>
          <w:szCs w:val="22"/>
          <w:lang w:val="en-US"/>
        </w:rPr>
        <w:t>TPC command reference period</w:t>
      </w:r>
      <w:r w:rsidRPr="004D2B38">
        <w:rPr>
          <w:b/>
          <w:bCs/>
          <w:sz w:val="22"/>
          <w:szCs w:val="22"/>
        </w:rPr>
        <w:t xml:space="preserve"> of Option 1</w:t>
      </w:r>
      <w:r>
        <w:rPr>
          <w:b/>
          <w:bCs/>
          <w:sz w:val="22"/>
          <w:szCs w:val="22"/>
        </w:rPr>
        <w:t xml:space="preserve"> could</w:t>
      </w:r>
      <w:r w:rsidRPr="004D2B38">
        <w:rPr>
          <w:b/>
          <w:bCs/>
          <w:sz w:val="22"/>
          <w:szCs w:val="22"/>
        </w:rPr>
        <w:t xml:space="preserve"> </w:t>
      </w:r>
      <w:r>
        <w:rPr>
          <w:b/>
          <w:bCs/>
          <w:sz w:val="22"/>
          <w:szCs w:val="22"/>
        </w:rPr>
        <w:t xml:space="preserve">end faster than </w:t>
      </w:r>
      <w:r w:rsidRPr="004D2B38">
        <w:rPr>
          <w:b/>
          <w:bCs/>
          <w:sz w:val="22"/>
          <w:szCs w:val="22"/>
        </w:rPr>
        <w:t xml:space="preserve">other options. </w:t>
      </w:r>
      <w:r w:rsidRPr="004D2B38">
        <w:rPr>
          <w:b/>
          <w:bCs/>
          <w:sz w:val="21"/>
          <w:szCs w:val="21"/>
        </w:rPr>
        <w:t xml:space="preserve"> </w:t>
      </w:r>
    </w:p>
    <w:p w14:paraId="7F921E21" w14:textId="77777777" w:rsidR="00911F4E" w:rsidRPr="00911F4E" w:rsidRDefault="00911F4E"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4ECD6EED" w14:textId="2FFCC17D" w:rsidR="00696B59" w:rsidRPr="00EE6994" w:rsidRDefault="00696B59" w:rsidP="00696B59">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sidR="005B0010">
        <w:rPr>
          <w:sz w:val="22"/>
          <w:szCs w:val="22"/>
        </w:rPr>
        <w:t>7</w:t>
      </w:r>
      <w:r>
        <w:rPr>
          <w:sz w:val="22"/>
          <w:szCs w:val="22"/>
        </w:rPr>
        <w:t>-</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w:t>
      </w:r>
      <w:r w:rsidR="005B0010">
        <w:rPr>
          <w:sz w:val="22"/>
          <w:szCs w:val="22"/>
        </w:rPr>
        <w:t xml:space="preserve"> Nov</w:t>
      </w:r>
      <w:r>
        <w:rPr>
          <w:sz w:val="22"/>
          <w:szCs w:val="22"/>
        </w:rPr>
        <w:t>. 2021.</w:t>
      </w:r>
    </w:p>
    <w:p w14:paraId="2BD12263" w14:textId="357986E0" w:rsidR="00E0698C" w:rsidRPr="003714D0" w:rsidRDefault="003714D0" w:rsidP="0016439E">
      <w:pPr>
        <w:spacing w:afterLines="50" w:after="120"/>
        <w:jc w:val="both"/>
        <w:rPr>
          <w:lang w:val="en-US"/>
        </w:rPr>
      </w:pPr>
      <w:r>
        <w:rPr>
          <w:rFonts w:hint="eastAsia"/>
        </w:rPr>
        <w:t>[</w:t>
      </w:r>
      <w:r>
        <w:t>2</w:t>
      </w:r>
      <w:r w:rsidRPr="003714D0">
        <w:rPr>
          <w:sz w:val="22"/>
          <w:szCs w:val="22"/>
        </w:rPr>
        <w:t xml:space="preserve">] </w:t>
      </w:r>
      <w:r>
        <w:rPr>
          <w:sz w:val="22"/>
          <w:szCs w:val="22"/>
        </w:rPr>
        <w:t xml:space="preserve"> </w:t>
      </w:r>
      <w:r w:rsidRPr="003714D0">
        <w:rPr>
          <w:sz w:val="22"/>
          <w:szCs w:val="22"/>
        </w:rPr>
        <w:t>R1-220</w:t>
      </w:r>
      <w:r w:rsidR="00D83727">
        <w:rPr>
          <w:sz w:val="22"/>
          <w:szCs w:val="22"/>
        </w:rPr>
        <w:t xml:space="preserve">0790,   </w:t>
      </w:r>
      <w:r w:rsidRPr="003714D0">
        <w:rPr>
          <w:sz w:val="22"/>
          <w:szCs w:val="22"/>
        </w:rPr>
        <w:t>Summary of email discussion on joint channel estimation for PUSCH</w:t>
      </w:r>
      <w:r>
        <w:rPr>
          <w:sz w:val="22"/>
          <w:szCs w:val="22"/>
        </w:rPr>
        <w:t xml:space="preserve">,  </w:t>
      </w:r>
      <w:r w:rsidRPr="003714D0">
        <w:rPr>
          <w:sz w:val="22"/>
          <w:szCs w:val="22"/>
        </w:rPr>
        <w:t>China Telecom</w:t>
      </w:r>
      <w:r>
        <w:rPr>
          <w:sz w:val="22"/>
          <w:szCs w:val="22"/>
        </w:rPr>
        <w:t>.</w:t>
      </w:r>
    </w:p>
    <w:sectPr w:rsidR="00E0698C" w:rsidRPr="003714D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618E" w14:textId="77777777" w:rsidR="00414C9A" w:rsidRDefault="00414C9A">
      <w:r>
        <w:separator/>
      </w:r>
    </w:p>
  </w:endnote>
  <w:endnote w:type="continuationSeparator" w:id="0">
    <w:p w14:paraId="0F723DCF" w14:textId="77777777" w:rsidR="00414C9A" w:rsidRDefault="00414C9A">
      <w:r>
        <w:continuationSeparator/>
      </w:r>
    </w:p>
  </w:endnote>
  <w:endnote w:type="continuationNotice" w:id="1">
    <w:p w14:paraId="75523624" w14:textId="77777777" w:rsidR="00414C9A" w:rsidRDefault="00414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2858D" w14:textId="77777777" w:rsidR="00414C9A" w:rsidRDefault="00414C9A">
      <w:r>
        <w:separator/>
      </w:r>
    </w:p>
  </w:footnote>
  <w:footnote w:type="continuationSeparator" w:id="0">
    <w:p w14:paraId="3BB87A74" w14:textId="77777777" w:rsidR="00414C9A" w:rsidRDefault="00414C9A">
      <w:r>
        <w:continuationSeparator/>
      </w:r>
    </w:p>
  </w:footnote>
  <w:footnote w:type="continuationNotice" w:id="1">
    <w:p w14:paraId="0BA36156" w14:textId="77777777" w:rsidR="00414C9A" w:rsidRDefault="00414C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SimSun" w:eastAsia="SimSun" w:hAnsi="SimSun"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030FE"/>
    <w:multiLevelType w:val="hybridMultilevel"/>
    <w:tmpl w:val="2B0238E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60320"/>
    <w:multiLevelType w:val="hybridMultilevel"/>
    <w:tmpl w:val="3DDA296E"/>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371149B5"/>
    <w:multiLevelType w:val="hybridMultilevel"/>
    <w:tmpl w:val="DB782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C2254C"/>
    <w:multiLevelType w:val="hybridMultilevel"/>
    <w:tmpl w:val="D0D40430"/>
    <w:lvl w:ilvl="0" w:tplc="4E045D2C">
      <w:start w:val="5"/>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55452"/>
    <w:multiLevelType w:val="hybridMultilevel"/>
    <w:tmpl w:val="056E9B60"/>
    <w:lvl w:ilvl="0" w:tplc="04D49B18">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568BC"/>
    <w:multiLevelType w:val="multilevel"/>
    <w:tmpl w:val="461568BC"/>
    <w:lvl w:ilvl="0">
      <w:numFmt w:val="bullet"/>
      <w:lvlText w:val="-"/>
      <w:lvlJc w:val="left"/>
      <w:pPr>
        <w:ind w:left="780" w:hanging="360"/>
      </w:pPr>
      <w:rPr>
        <w:rFonts w:ascii="Times New Roman" w:eastAsia="SimSun" w:hAnsi="Times New Roman" w:cs="Times New Roman" w:hint="default"/>
        <w: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5" w15:restartNumberingAfterBreak="0">
    <w:nsid w:val="5C003E30"/>
    <w:multiLevelType w:val="hybridMultilevel"/>
    <w:tmpl w:val="D85836F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8F74E2"/>
    <w:multiLevelType w:val="multilevel"/>
    <w:tmpl w:val="658F74E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2C0A50"/>
    <w:multiLevelType w:val="hybridMultilevel"/>
    <w:tmpl w:val="175EAF06"/>
    <w:lvl w:ilvl="0" w:tplc="77962E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5"/>
  </w:num>
  <w:num w:numId="4">
    <w:abstractNumId w:val="8"/>
  </w:num>
  <w:num w:numId="5">
    <w:abstractNumId w:val="47"/>
  </w:num>
  <w:num w:numId="6">
    <w:abstractNumId w:val="33"/>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28"/>
  </w:num>
  <w:num w:numId="11">
    <w:abstractNumId w:val="43"/>
  </w:num>
  <w:num w:numId="12">
    <w:abstractNumId w:val="21"/>
    <w:lvlOverride w:ilvl="0">
      <w:startOverride w:val="1"/>
    </w:lvlOverride>
  </w:num>
  <w:num w:numId="13">
    <w:abstractNumId w:val="3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
  </w:num>
  <w:num w:numId="17">
    <w:abstractNumId w:val="3"/>
  </w:num>
  <w:num w:numId="18">
    <w:abstractNumId w:val="42"/>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8"/>
  </w:num>
  <w:num w:numId="24">
    <w:abstractNumId w:val="10"/>
  </w:num>
  <w:num w:numId="25">
    <w:abstractNumId w:val="36"/>
  </w:num>
  <w:num w:numId="26">
    <w:abstractNumId w:val="23"/>
  </w:num>
  <w:num w:numId="27">
    <w:abstractNumId w:val="16"/>
  </w:num>
  <w:num w:numId="28">
    <w:abstractNumId w:val="14"/>
  </w:num>
  <w:num w:numId="29">
    <w:abstractNumId w:val="45"/>
  </w:num>
  <w:num w:numId="30">
    <w:abstractNumId w:val="7"/>
  </w:num>
  <w:num w:numId="31">
    <w:abstractNumId w:val="30"/>
  </w:num>
  <w:num w:numId="32">
    <w:abstractNumId w:val="4"/>
  </w:num>
  <w:num w:numId="33">
    <w:abstractNumId w:val="6"/>
  </w:num>
  <w:num w:numId="34">
    <w:abstractNumId w:val="9"/>
  </w:num>
  <w:num w:numId="35">
    <w:abstractNumId w:val="32"/>
  </w:num>
  <w:num w:numId="36">
    <w:abstractNumId w:val="32"/>
  </w:num>
  <w:num w:numId="37">
    <w:abstractNumId w:val="35"/>
  </w:num>
  <w:num w:numId="38">
    <w:abstractNumId w:val="40"/>
  </w:num>
  <w:num w:numId="39">
    <w:abstractNumId w:val="44"/>
  </w:num>
  <w:num w:numId="40">
    <w:abstractNumId w:val="34"/>
  </w:num>
  <w:num w:numId="41">
    <w:abstractNumId w:val="19"/>
  </w:num>
  <w:num w:numId="42">
    <w:abstractNumId w:val="46"/>
  </w:num>
  <w:num w:numId="43">
    <w:abstractNumId w:val="13"/>
  </w:num>
  <w:num w:numId="44">
    <w:abstractNumId w:val="22"/>
  </w:num>
  <w:num w:numId="45">
    <w:abstractNumId w:val="39"/>
  </w:num>
  <w:num w:numId="46">
    <w:abstractNumId w:val="25"/>
  </w:num>
  <w:num w:numId="47">
    <w:abstractNumId w:val="17"/>
  </w:num>
  <w:num w:numId="48">
    <w:abstractNumId w:val="41"/>
  </w:num>
  <w:num w:numId="49">
    <w:abstractNumId w:val="5"/>
  </w:num>
  <w:num w:numId="5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1497</Words>
  <Characters>8539</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4</cp:revision>
  <cp:lastPrinted>2017-08-09T04:40:00Z</cp:lastPrinted>
  <dcterms:created xsi:type="dcterms:W3CDTF">2022-02-10T02:48:00Z</dcterms:created>
  <dcterms:modified xsi:type="dcterms:W3CDTF">2022-02-14T01:20:00Z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